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t>General Questions</w:t>
      </w:r>
      <w:bookmarkEnd w:id="0"/>
    </w:p>
    <w:tbl>
      <w:tblPr>
        <w:tblStyle w:val="Tabelacomgrade"/>
        <w:tblW w:w="10232" w:type="dxa"/>
        <w:tblLook w:val="04A0" w:firstRow="1" w:lastRow="0" w:firstColumn="1" w:lastColumn="0" w:noHBand="0" w:noVBand="1"/>
      </w:tblPr>
      <w:tblGrid>
        <w:gridCol w:w="789"/>
        <w:gridCol w:w="5211"/>
        <w:gridCol w:w="212"/>
        <w:gridCol w:w="137"/>
        <w:gridCol w:w="410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785FA174" w14:textId="6A5E6E9C" w:rsidR="00482A75" w:rsidRDefault="00EF433F">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07C1E7AA" w14:textId="77777777" w:rsidR="00482A75" w:rsidRDefault="00EF433F">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EE4D7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4E11670" w14:textId="209880E7" w:rsidR="00482A75" w:rsidRPr="007D4F57" w:rsidRDefault="00C814C6">
            <w:pPr>
              <w:rPr>
                <w:lang w:val="pt-BR"/>
              </w:rPr>
            </w:pPr>
            <w:proofErr w:type="spellStart"/>
            <w:r w:rsidRPr="00EE4D7F">
              <w:rPr>
                <w:lang w:val="pt-BR"/>
              </w:rPr>
              <w:t>Superintendency</w:t>
            </w:r>
            <w:proofErr w:type="spellEnd"/>
            <w:r w:rsidRPr="00EE4D7F">
              <w:rPr>
                <w:lang w:val="pt-BR"/>
              </w:rPr>
              <w:t xml:space="preserve"> of Private </w:t>
            </w:r>
            <w:proofErr w:type="spellStart"/>
            <w:r w:rsidRPr="00EE4D7F">
              <w:rPr>
                <w:lang w:val="pt-BR"/>
              </w:rPr>
              <w:t>Insurance</w:t>
            </w:r>
            <w:proofErr w:type="spellEnd"/>
            <w:r w:rsidRPr="00EE4D7F">
              <w:rPr>
                <w:lang w:val="pt-BR"/>
              </w:rPr>
              <w:t xml:space="preserve"> </w:t>
            </w:r>
            <w:r w:rsidR="00261190" w:rsidRPr="007D4F57">
              <w:rPr>
                <w:lang w:val="pt-BR"/>
              </w:rPr>
              <w:t xml:space="preserve">(SUSEP) Circular No. 666/2022 - </w:t>
            </w:r>
            <w:proofErr w:type="spellStart"/>
            <w:r w:rsidR="00261190" w:rsidRPr="007D4F57">
              <w:rPr>
                <w:lang w:val="pt-BR"/>
              </w:rPr>
              <w:t>Establishes</w:t>
            </w:r>
            <w:proofErr w:type="spellEnd"/>
            <w:r w:rsidR="00261190" w:rsidRPr="007D4F57">
              <w:rPr>
                <w:lang w:val="pt-BR"/>
              </w:rPr>
              <w:t xml:space="preserve"> </w:t>
            </w:r>
            <w:proofErr w:type="spellStart"/>
            <w:r w:rsidR="00261190" w:rsidRPr="007D4F57">
              <w:rPr>
                <w:lang w:val="pt-BR"/>
              </w:rPr>
              <w:t>sustainability</w:t>
            </w:r>
            <w:proofErr w:type="spellEnd"/>
            <w:r w:rsidR="00261190" w:rsidRPr="007D4F57">
              <w:rPr>
                <w:lang w:val="pt-BR"/>
              </w:rPr>
              <w:t xml:space="preserve"> </w:t>
            </w:r>
            <w:proofErr w:type="spellStart"/>
            <w:r w:rsidR="00261190" w:rsidRPr="007D4F57">
              <w:rPr>
                <w:lang w:val="pt-BR"/>
              </w:rPr>
              <w:t>requirements</w:t>
            </w:r>
            <w:proofErr w:type="spellEnd"/>
            <w:r w:rsidR="00261190" w:rsidRPr="007D4F57">
              <w:rPr>
                <w:lang w:val="pt-BR"/>
              </w:rPr>
              <w:t xml:space="preserve"> to </w:t>
            </w:r>
            <w:proofErr w:type="spellStart"/>
            <w:r w:rsidR="00261190" w:rsidRPr="007D4F57">
              <w:rPr>
                <w:lang w:val="pt-BR"/>
              </w:rPr>
              <w:t>be</w:t>
            </w:r>
            <w:proofErr w:type="spellEnd"/>
            <w:r w:rsidR="00261190" w:rsidRPr="007D4F57">
              <w:rPr>
                <w:lang w:val="pt-BR"/>
              </w:rPr>
              <w:t xml:space="preserve"> </w:t>
            </w:r>
            <w:proofErr w:type="spellStart"/>
            <w:r w:rsidR="00261190" w:rsidRPr="007D4F57">
              <w:rPr>
                <w:lang w:val="pt-BR"/>
              </w:rPr>
              <w:t>observed</w:t>
            </w:r>
            <w:proofErr w:type="spellEnd"/>
            <w:r w:rsidR="00261190" w:rsidRPr="007D4F57">
              <w:rPr>
                <w:lang w:val="pt-BR"/>
              </w:rPr>
              <w:t xml:space="preserve"> </w:t>
            </w:r>
            <w:proofErr w:type="spellStart"/>
            <w:r w:rsidR="00261190" w:rsidRPr="007D4F57">
              <w:rPr>
                <w:lang w:val="pt-BR"/>
              </w:rPr>
              <w:t>by</w:t>
            </w:r>
            <w:proofErr w:type="spellEnd"/>
            <w:r w:rsidR="00261190" w:rsidRPr="007D4F57">
              <w:rPr>
                <w:lang w:val="pt-BR"/>
              </w:rPr>
              <w:t xml:space="preserve"> </w:t>
            </w:r>
            <w:proofErr w:type="spellStart"/>
            <w:r w:rsidR="00261190" w:rsidRPr="007D4F57">
              <w:rPr>
                <w:lang w:val="pt-BR"/>
              </w:rPr>
              <w:t>insurance</w:t>
            </w:r>
            <w:proofErr w:type="spellEnd"/>
            <w:r w:rsidR="00261190" w:rsidRPr="007D4F57">
              <w:rPr>
                <w:lang w:val="pt-BR"/>
              </w:rPr>
              <w:t xml:space="preserve"> </w:t>
            </w:r>
            <w:proofErr w:type="spellStart"/>
            <w:r w:rsidR="00261190" w:rsidRPr="007D4F57">
              <w:rPr>
                <w:lang w:val="pt-BR"/>
              </w:rPr>
              <w:t>companies</w:t>
            </w:r>
            <w:proofErr w:type="spellEnd"/>
            <w:r w:rsidR="00261190" w:rsidRPr="007D4F57">
              <w:rPr>
                <w:lang w:val="pt-BR"/>
              </w:rPr>
              <w:t xml:space="preserve">, open </w:t>
            </w:r>
            <w:proofErr w:type="spellStart"/>
            <w:r w:rsidR="00261190" w:rsidRPr="007D4F57">
              <w:rPr>
                <w:lang w:val="pt-BR"/>
              </w:rPr>
              <w:t>supplementary</w:t>
            </w:r>
            <w:proofErr w:type="spellEnd"/>
            <w:r w:rsidR="00261190" w:rsidRPr="007D4F57">
              <w:rPr>
                <w:lang w:val="pt-BR"/>
              </w:rPr>
              <w:t xml:space="preserve"> </w:t>
            </w:r>
            <w:proofErr w:type="spellStart"/>
            <w:r w:rsidR="00261190" w:rsidRPr="007D4F57">
              <w:rPr>
                <w:lang w:val="pt-BR"/>
              </w:rPr>
              <w:t>pension</w:t>
            </w:r>
            <w:proofErr w:type="spellEnd"/>
            <w:r w:rsidR="00261190" w:rsidRPr="007D4F57">
              <w:rPr>
                <w:lang w:val="pt-BR"/>
              </w:rPr>
              <w:t xml:space="preserve"> </w:t>
            </w:r>
            <w:proofErr w:type="spellStart"/>
            <w:r w:rsidR="00261190" w:rsidRPr="007D4F57">
              <w:rPr>
                <w:lang w:val="pt-BR"/>
              </w:rPr>
              <w:t>entities</w:t>
            </w:r>
            <w:proofErr w:type="spellEnd"/>
            <w:r w:rsidR="00261190" w:rsidRPr="007D4F57">
              <w:rPr>
                <w:lang w:val="pt-BR"/>
              </w:rPr>
              <w:t xml:space="preserve">, </w:t>
            </w:r>
            <w:proofErr w:type="spellStart"/>
            <w:r w:rsidR="00261190" w:rsidRPr="007D4F57">
              <w:rPr>
                <w:lang w:val="pt-BR"/>
              </w:rPr>
              <w:t>capitalization</w:t>
            </w:r>
            <w:proofErr w:type="spellEnd"/>
            <w:r w:rsidR="00261190" w:rsidRPr="007D4F57">
              <w:rPr>
                <w:lang w:val="pt-BR"/>
              </w:rPr>
              <w:t xml:space="preserve"> </w:t>
            </w:r>
            <w:proofErr w:type="spellStart"/>
            <w:r w:rsidR="00261190" w:rsidRPr="007D4F57">
              <w:rPr>
                <w:lang w:val="pt-BR"/>
              </w:rPr>
              <w:t>companies</w:t>
            </w:r>
            <w:proofErr w:type="spellEnd"/>
            <w:r w:rsidR="00261190" w:rsidRPr="007D4F57">
              <w:rPr>
                <w:lang w:val="pt-BR"/>
              </w:rPr>
              <w:t xml:space="preserve"> and local </w:t>
            </w:r>
            <w:proofErr w:type="spellStart"/>
            <w:r w:rsidR="00261190" w:rsidRPr="007D4F57">
              <w:rPr>
                <w:lang w:val="pt-BR"/>
              </w:rPr>
              <w:t>reinsurers</w:t>
            </w:r>
            <w:proofErr w:type="spellEnd"/>
            <w:r w:rsidR="00261190" w:rsidRPr="007D4F57">
              <w:rPr>
                <w:lang w:val="pt-BR"/>
              </w:rPr>
              <w:t xml:space="preserve"> (Circular SUSEP nº 666/2022 - Dispõe sobre requisitos de sustentabilidade, a serem observados pelas sociedades seguradoras, entidades abertas de previdência complementar, sociedades de capitalização e resseguradores locais)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3A268A93" w14:textId="78E5C11F" w:rsidR="00482A75" w:rsidRDefault="00D74511">
            <w:hyperlink r:id="rId17" w:history="1">
              <w:r w:rsidRPr="00D74511">
                <w:rPr>
                  <w:rStyle w:val="Hyperlink"/>
                </w:rPr>
                <w:t>https://web.archive.org/web/20240823011335/https://www2.susep.gov.br/safe/scripts/bnweb/bnmapi.exe?router=upload/26128</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39EF29B" w14:textId="77777777" w:rsidR="00482A75" w:rsidRDefault="00EF433F">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73B4595" w:rsidR="00093CA9" w:rsidRDefault="003532A3"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33CE0FE8" w14:textId="77777777" w:rsidR="00482A75" w:rsidRDefault="00EF433F">
            <w:r>
              <w:t>Circular establishes mechanisms for mapping and managing sustainability risks by insurance companies, open supplementary pension entities (EAPCs), capitalization companies and local reinsurers.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03450AD5" w14:textId="77777777" w:rsidR="00482A75" w:rsidRDefault="00EF433F">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0ABD2ECD" w14:textId="1595EDDF" w:rsidR="00482A75" w:rsidRDefault="00482A75"/>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16B92267" w14:textId="77777777" w:rsidR="00482A75" w:rsidRDefault="00EF433F">
            <w: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p w14:paraId="57698F2A" w14:textId="77777777" w:rsidR="00482A75" w:rsidRDefault="00482A75"/>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07A63356" w14:textId="77777777" w:rsidR="00482A75" w:rsidRDefault="00482A75"/>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0E0C29C9" w14:textId="77777777" w:rsidR="00482A75" w:rsidRDefault="00482A75"/>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03ABB8B3" w14:textId="77777777" w:rsidR="00482A75" w:rsidRDefault="00EF433F">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6DD952BD" w14:textId="77777777" w:rsidR="00482A75" w:rsidRDefault="00EF433F">
            <w:r>
              <w:t>Superintendency of Private Insurance (SUSEP)</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454800D7" w14:textId="77777777" w:rsidR="00482A75" w:rsidRDefault="00EF433F">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76550C66" w14:textId="33D33038" w:rsidR="00482A75" w:rsidRDefault="00482A75"/>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37C98C28" w14:textId="47EDB4A0" w:rsidR="00482A75" w:rsidRDefault="00482A75"/>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4A12B1F9" w14:textId="053747A1" w:rsidR="00482A75" w:rsidRDefault="00482A75"/>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4A427652" w14:textId="34C39560" w:rsidR="00482A75" w:rsidRDefault="00482A75"/>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72C211F6" w14:textId="77777777" w:rsidR="00482A75" w:rsidRDefault="00EF433F">
            <w:r>
              <w:t>SUSEP is the government body responsible for overseeing the insurance and reinsurance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1A37F2F8" w14:textId="77777777" w:rsidR="00482A75" w:rsidRDefault="00EF433F">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6F70DD72" w14:textId="26F4D944" w:rsidR="00482A75" w:rsidRDefault="00EF433F">
            <w:r>
              <w:t xml:space="preserve">SUSEP is the regulatory body in charge to oversee supervised companies (insurers, local reinsurers, capitalization companies and private pension funds) and their compliance with the sustainability regulations. Within SUSEP there are specific areas responsible for (i) drafting and reviewing regulations about sustainability and (i) overseeing supervised companies’ compliance.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57EC57F2" w14:textId="79DCC5CD" w:rsidR="00482A75" w:rsidRDefault="00C30001">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0F6D0BB" w14:textId="77777777" w:rsidR="00482A75" w:rsidRDefault="00EF433F">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37B26C67" w14:textId="77777777" w:rsidR="00482A75" w:rsidRDefault="00EF433F">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52F5766C" w14:textId="77777777" w:rsidR="00482A75" w:rsidRDefault="00EF433F">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2DCCE042" w14:textId="77777777" w:rsidR="00482A75" w:rsidRDefault="00EF433F">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27C40158" w14:textId="77777777" w:rsidR="00482A75" w:rsidRDefault="00EF433F">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25745DBE" w14:textId="77777777" w:rsidR="00482A75" w:rsidRDefault="00EF433F">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C3D1484" w14:textId="77777777" w:rsidR="00482A75" w:rsidRDefault="00EF433F">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4E490BA1" w14:textId="77777777" w:rsidR="00482A75" w:rsidRDefault="00EF433F">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63500D1B" w14:textId="77777777" w:rsidR="00482A75" w:rsidRDefault="00EF433F">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113BB0C" w14:textId="77777777" w:rsidR="00482A75" w:rsidRDefault="00EF433F">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3CFB86F6" w14:textId="77777777" w:rsidR="00482A75" w:rsidRDefault="00EF433F">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18756FC6" w14:textId="77777777" w:rsidR="00482A75" w:rsidRDefault="00EF433F">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p w14:paraId="6C4DC1B0" w14:textId="77777777" w:rsidR="00482A75" w:rsidRDefault="00482A75"/>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150049B7" w:rsidR="004B2D74" w:rsidRDefault="002446E9"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41F84250" w:rsidR="004B2D74" w:rsidRDefault="002446E9"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44805CC9" w:rsidR="004B2D74" w:rsidRDefault="00342175"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49514B76" w:rsidR="004B2D74" w:rsidRDefault="002446E9"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7B4A6204" w:rsidR="004B2D74" w:rsidRDefault="002446E9"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41586DCF" w:rsidR="004B2D74" w:rsidRDefault="002446E9"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p w14:paraId="7E0C7711" w14:textId="77777777" w:rsidR="00482A75" w:rsidRDefault="00482A75"/>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F40CA60" w14:textId="77777777" w:rsidR="00482A75" w:rsidRDefault="00EF433F">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33A0A0D0" w14:textId="77777777" w:rsidR="00482A75" w:rsidRDefault="00EF433F">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34462088" w14:textId="77777777" w:rsidR="00482A75" w:rsidRDefault="00EF433F">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15ADA80" w14:textId="77777777" w:rsidR="00482A75" w:rsidRDefault="00EF433F">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157D12DB" w14:textId="77777777" w:rsidR="00482A75" w:rsidRDefault="00EF433F">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7A49116E" w14:textId="77777777" w:rsidR="00482A75" w:rsidRDefault="00EF433F">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602EA54E" w14:textId="77777777" w:rsidR="00482A75" w:rsidRDefault="00EF433F">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788878A0" w14:textId="77777777" w:rsidR="00482A75" w:rsidRDefault="00EF433F">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2688836B" w14:textId="77777777" w:rsidR="00482A75" w:rsidRDefault="00EF433F">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5E266BEC" w14:textId="77777777" w:rsidR="00482A75" w:rsidRDefault="00EF433F">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03072497" w14:textId="77777777" w:rsidR="00482A75" w:rsidRDefault="00EF433F">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4135EE4" w14:textId="77777777" w:rsidR="00482A75" w:rsidRDefault="00EF433F">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362C26D9" w14:textId="77777777" w:rsidR="00482A75" w:rsidRDefault="00EF433F">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56DB3164" w14:textId="77777777" w:rsidR="00482A75" w:rsidRDefault="00EF433F">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202AC03" w14:textId="77777777" w:rsidR="00482A75" w:rsidRDefault="00EF433F">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B8DAB09" w14:textId="77777777" w:rsidR="00482A75" w:rsidRDefault="00EF433F">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74E737BB" w14:textId="77777777" w:rsidR="00482A75" w:rsidRDefault="00EF433F">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6551FB5D" w14:textId="77777777" w:rsidR="00482A75" w:rsidRDefault="00EF433F">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1525177F" w14:textId="77777777" w:rsidR="00482A75" w:rsidRDefault="00EF433F">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4B032E84" w14:textId="77777777" w:rsidR="00482A75" w:rsidRDefault="00EF433F">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541C4D73" w14:textId="77777777" w:rsidR="00482A75" w:rsidRDefault="00EF433F">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5CD42A43" w14:textId="77777777" w:rsidR="00482A75" w:rsidRDefault="00482A75"/>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p w14:paraId="52664559" w14:textId="77777777" w:rsidR="00482A75" w:rsidRDefault="00482A75"/>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387F4E96" w14:textId="77777777" w:rsidR="00482A75" w:rsidRDefault="00482A75"/>
        </w:tc>
      </w:tr>
      <w:tr w:rsidR="00524D54" w:rsidRPr="007D4F5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E4D7F" w:rsidRDefault="00107CE2" w:rsidP="00DD3144">
            <w:pPr>
              <w:rPr>
                <w:lang w:val="fr-FR"/>
              </w:rPr>
            </w:pPr>
            <w:r w:rsidRPr="00EE4D7F">
              <w:rPr>
                <w:lang w:val="fr-FR"/>
              </w:rPr>
              <w:t>Minimum revenue (Enter minimum revenue)</w:t>
            </w:r>
          </w:p>
        </w:tc>
        <w:tc>
          <w:tcPr>
            <w:tcW w:w="4910" w:type="dxa"/>
            <w:gridSpan w:val="7"/>
            <w:vAlign w:val="center"/>
          </w:tcPr>
          <w:p w14:paraId="2518BD70" w14:textId="77777777" w:rsidR="00524D54" w:rsidRPr="00EE4D7F" w:rsidRDefault="00524D54" w:rsidP="00DD3144">
            <w:pPr>
              <w:rPr>
                <w:lang w:val="fr-FR"/>
              </w:rPr>
            </w:pPr>
          </w:p>
          <w:p w14:paraId="06F68F83" w14:textId="77777777" w:rsidR="00482A75" w:rsidRPr="00EE4D7F" w:rsidRDefault="00482A75">
            <w:pPr>
              <w:rPr>
                <w:lang w:val="fr-FR"/>
              </w:rPr>
            </w:pPr>
          </w:p>
        </w:tc>
      </w:tr>
      <w:tr w:rsidR="00524D54" w:rsidRPr="00EE4D7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3BEC3EDA" w14:textId="77777777" w:rsidR="00482A75" w:rsidRPr="00EE4D7F" w:rsidRDefault="00482A75">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7133F5C1" w14:textId="77777777" w:rsidR="00482A75" w:rsidRDefault="00482A75"/>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7167CEAB" w14:textId="77777777" w:rsidR="00482A75" w:rsidRDefault="00482A75"/>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36706325" w14:textId="259D3479" w:rsidR="00482A75" w:rsidRDefault="00EF433F">
            <w:r>
              <w:t>Insurance companies, open private pension entities, capitalization societies and local reinsures are obligated to comply with the norm. The regulation is applicable to all insurance and reinsurance companies.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0984102" w14:textId="77777777" w:rsidR="00482A75" w:rsidRDefault="00EF433F">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C02B6E7" w14:textId="77777777" w:rsidR="00482A75" w:rsidRDefault="00EF433F">
            <w:r>
              <w:t xml:space="preserve">Pursuant to paragraph 2, article 3 of the Circular No. 666, insurance and reinsurance </w:t>
            </w:r>
            <w:proofErr w:type="gramStart"/>
            <w:r>
              <w:t>companies</w:t>
            </w:r>
            <w:proofErr w:type="gramEnd"/>
            <w:r>
              <w:t xml:space="preserve"> operations whose sustainability risks are considered immaterial are exempted from the sustainability risk management requirements. However, all companies must disclose a sustainability policy and an annual report.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4F2F9934" w14:textId="77777777" w:rsidR="00482A75" w:rsidRDefault="00EF433F">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70153F32" w14:textId="77777777" w:rsidR="00482A75" w:rsidRDefault="00EF433F">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5871E189" w14:textId="5F7B02B6" w:rsidR="009D676B" w:rsidRDefault="00EF433F">
            <w:r>
              <w:t xml:space="preserve">Fines of up to BRL 1 million (Decree-Law no 73/1966, Article 108 - </w:t>
            </w:r>
            <w:hyperlink r:id="rId18" w:history="1">
              <w:r w:rsidR="009D676B" w:rsidRPr="00C15481">
                <w:rPr>
                  <w:rStyle w:val="Hyperlink"/>
                </w:rPr>
                <w:t>https://www.planalto.gov.br/ccivil_03/decreto-lei/del0073.htm</w:t>
              </w:r>
            </w:hyperlink>
            <w:r>
              <w:t xml:space="preserve">) </w:t>
            </w:r>
          </w:p>
          <w:p w14:paraId="21395EE1" w14:textId="73C49AC1" w:rsidR="009D676B" w:rsidRDefault="00EF433F">
            <w:r>
              <w:t xml:space="preserve">Restrictions of business operations (Decree-Law no 73/1966, Article 108 - https://www.planalto.gov.br/ccivil_03/decreto-lei/del0073.htm)        </w:t>
            </w:r>
          </w:p>
          <w:p w14:paraId="7A266329" w14:textId="4B1C8C26" w:rsidR="00482A75" w:rsidRDefault="00EF433F">
            <w:r>
              <w:t>Warnings (Decree-Law no 73/1966, Article 108 - https://www.planalto.gov.br/ccivil_03/decreto-lei/del0073.htm)</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p w14:paraId="2DB721CB" w14:textId="77777777" w:rsidR="00482A75" w:rsidRDefault="00482A75"/>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5983300" w14:textId="77777777" w:rsidR="00482A75" w:rsidRDefault="00EF433F">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1AE96111" w14:textId="77777777" w:rsidR="00482A75" w:rsidRDefault="00EF433F">
            <w:r>
              <w:t>Circular SUSEP 666/2022 is in force since August/</w:t>
            </w:r>
            <w:proofErr w:type="gramStart"/>
            <w:r>
              <w:t>2022</w:t>
            </w:r>
            <w:proofErr w:type="gramEnd"/>
            <w:r>
              <w:t xml:space="preserve"> and the supervised companies must comply with that regulation. So far, there is no information regarding its non-compliance by one of SUSEP’s supervised entities.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063D8965" w14:textId="1AF2C81F" w:rsidR="00482A75" w:rsidRDefault="00B202D0" w:rsidP="00EE4D7F">
            <w:pPr>
              <w:spacing w:line="276" w:lineRule="auto"/>
            </w:pPr>
            <w:r w:rsidRPr="00BF0271">
              <w:rPr>
                <w:color w:val="000000" w:themeColor="text1"/>
              </w:rPr>
              <w:t>To date, no litigation concerning the policy tool has come to light.</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1CC8E5C" w14:textId="77777777" w:rsidR="00482A75" w:rsidRDefault="00EF433F">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1F7E0869" w14:textId="77777777" w:rsidR="00482A75" w:rsidRDefault="00EF433F">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41156556" w14:textId="77777777" w:rsidR="00482A75" w:rsidRDefault="00EF433F">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6CDD5FC4" w14:textId="77777777" w:rsidR="00482A75" w:rsidRDefault="00EF433F">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03AFE602" w14:textId="77777777" w:rsidR="00482A75" w:rsidRDefault="00EF433F">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0E177B53" w14:textId="77777777" w:rsidR="00482A75" w:rsidRDefault="00EF433F">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35E2D327" w14:textId="77777777" w:rsidR="00482A75" w:rsidRDefault="00EF433F">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vAlign w:val="center"/>
          </w:tcPr>
          <w:p w14:paraId="5131DA9B" w14:textId="77777777" w:rsidR="00931F08" w:rsidRDefault="00931F08" w:rsidP="00DD3144"/>
          <w:p w14:paraId="59CB5B41" w14:textId="77777777" w:rsidR="00482A75" w:rsidRDefault="00482A75"/>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vAlign w:val="center"/>
          </w:tcPr>
          <w:p w14:paraId="4061A97D" w14:textId="77777777" w:rsidR="00931F08" w:rsidRDefault="00931F08" w:rsidP="00DD3144"/>
          <w:p w14:paraId="6978AF84" w14:textId="77777777" w:rsidR="00482A75" w:rsidRDefault="00482A75"/>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vAlign w:val="center"/>
          </w:tcPr>
          <w:p w14:paraId="2FF4AF94" w14:textId="77777777" w:rsidR="00931F08" w:rsidRDefault="00931F08" w:rsidP="00DD3144"/>
          <w:p w14:paraId="55F2522A" w14:textId="77777777" w:rsidR="00482A75" w:rsidRDefault="00482A75"/>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vAlign w:val="center"/>
          </w:tcPr>
          <w:p w14:paraId="2D37B849" w14:textId="77777777" w:rsidR="00931F08" w:rsidRDefault="00931F08" w:rsidP="00DD3144"/>
          <w:p w14:paraId="4C46EEB9" w14:textId="77777777" w:rsidR="00482A75" w:rsidRDefault="00482A75"/>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vAlign w:val="center"/>
          </w:tcPr>
          <w:p w14:paraId="142D13FD" w14:textId="77777777" w:rsidR="00931F08" w:rsidRDefault="00931F08" w:rsidP="00DD3144"/>
          <w:p w14:paraId="58410466" w14:textId="77777777" w:rsidR="00482A75" w:rsidRDefault="00482A75"/>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vAlign w:val="center"/>
          </w:tcPr>
          <w:p w14:paraId="0FA0FC71" w14:textId="77777777" w:rsidR="00931F08" w:rsidRDefault="00931F08" w:rsidP="00DD3144"/>
          <w:p w14:paraId="5152AB0C" w14:textId="77777777" w:rsidR="00482A75" w:rsidRDefault="00482A75"/>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vAlign w:val="center"/>
          </w:tcPr>
          <w:p w14:paraId="72716685" w14:textId="77777777" w:rsidR="00931F08" w:rsidRDefault="00931F08" w:rsidP="00DD3144"/>
          <w:p w14:paraId="6B78DE12" w14:textId="77777777" w:rsidR="00482A75" w:rsidRDefault="00482A75"/>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2C31D623" w14:textId="497708F8" w:rsidR="00B0479E" w:rsidRPr="00F75058" w:rsidRDefault="00B0479E" w:rsidP="00DD3144">
            <w:pPr>
              <w:rPr>
                <w:rFonts w:ascii="Calibri" w:hAnsi="Calibri" w:cs="Calibri"/>
              </w:rPr>
            </w:pPr>
          </w:p>
        </w:tc>
      </w:tr>
      <w:tr w:rsidR="00B0479E" w:rsidRPr="007D4F57"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EE4D7F" w:rsidRDefault="00B0479E" w:rsidP="00DD3144">
            <w:pPr>
              <w:rPr>
                <w:lang w:val="fr-FR"/>
              </w:rPr>
            </w:pPr>
            <w:r w:rsidRPr="00EE4D7F">
              <w:rPr>
                <w:rFonts w:ascii="Calibri" w:hAnsi="Calibri" w:cs="Calibri"/>
                <w:lang w:val="fr-FR"/>
              </w:rPr>
              <w:t xml:space="preserve">Carbon dioxide equivalent (CO₂e) </w:t>
            </w:r>
          </w:p>
        </w:tc>
        <w:tc>
          <w:tcPr>
            <w:tcW w:w="3150" w:type="dxa"/>
            <w:gridSpan w:val="2"/>
            <w:vAlign w:val="center"/>
          </w:tcPr>
          <w:p w14:paraId="7C41530E" w14:textId="769FE26A" w:rsidR="00B0479E" w:rsidRPr="00EE4D7F" w:rsidRDefault="00B0479E" w:rsidP="00DD3144">
            <w:pPr>
              <w:rPr>
                <w:rFonts w:ascii="Calibri" w:hAnsi="Calibri" w:cs="Calibri"/>
                <w:lang w:val="fr-FR"/>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449EC87" w14:textId="7094F12B" w:rsidR="00B0479E" w:rsidRDefault="00097EE0" w:rsidP="00DD3144">
            <w:pPr>
              <w:rPr>
                <w:rFonts w:ascii="Calibri" w:hAnsi="Calibri" w:cs="Calibri"/>
              </w:rPr>
            </w:pPr>
            <w:r>
              <w:rPr>
                <w:rFonts w:ascii="Calibri" w:hAnsi="Calibri" w:cs="Calibri"/>
              </w:rPr>
              <w:t>X</w:t>
            </w: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6EC5C44" w14:textId="77777777" w:rsidR="00482A75" w:rsidRDefault="00482A75"/>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084FC08" w14:textId="3CE451B9" w:rsidR="00B0479E" w:rsidRDefault="00F44E08" w:rsidP="00DD3144">
            <w:pPr>
              <w:rPr>
                <w:rFonts w:ascii="Calibri" w:hAnsi="Calibri" w:cs="Calibri"/>
              </w:rPr>
            </w:pPr>
            <w:r>
              <w:rPr>
                <w:rFonts w:ascii="Calibri" w:hAnsi="Calibri" w:cs="Calibri"/>
              </w:rPr>
              <w:t>X</w:t>
            </w: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5D60F2C" w14:textId="02B3D1B8" w:rsidR="00B0479E" w:rsidRDefault="00F44E08" w:rsidP="00DD3144">
            <w:pPr>
              <w:rPr>
                <w:rFonts w:ascii="Calibri" w:hAnsi="Calibri" w:cs="Calibri"/>
              </w:rPr>
            </w:pPr>
            <w:r>
              <w:rPr>
                <w:rFonts w:ascii="Calibri" w:hAnsi="Calibri" w:cs="Calibri"/>
              </w:rPr>
              <w:t>X</w:t>
            </w: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049C5CC5" w14:textId="77777777" w:rsidR="00482A75" w:rsidRDefault="00482A75"/>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vAlign w:val="center"/>
          </w:tcPr>
          <w:p w14:paraId="30D54D96" w14:textId="77777777" w:rsidR="00B0479E" w:rsidRDefault="00B0479E" w:rsidP="00DD3144"/>
          <w:p w14:paraId="7D9FB0A7" w14:textId="77777777" w:rsidR="00482A75" w:rsidRDefault="00482A75"/>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7248F49F" w14:textId="77777777" w:rsidR="00482A75" w:rsidRDefault="00482A75"/>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028D81AE" w14:textId="77777777" w:rsidR="00B0479E" w:rsidRDefault="00B0479E" w:rsidP="00DD3144"/>
        </w:tc>
        <w:tc>
          <w:tcPr>
            <w:tcW w:w="1530" w:type="dxa"/>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5C1D356A" w14:textId="77777777" w:rsidR="00B0479E" w:rsidRDefault="00B0479E" w:rsidP="00DD3144"/>
        </w:tc>
        <w:tc>
          <w:tcPr>
            <w:tcW w:w="1530" w:type="dxa"/>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16EB1CB8" w14:textId="77777777" w:rsidR="00B0479E" w:rsidRDefault="00B0479E" w:rsidP="00DD3144"/>
        </w:tc>
        <w:tc>
          <w:tcPr>
            <w:tcW w:w="1530" w:type="dxa"/>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67C1DCBA" w14:textId="77777777" w:rsidR="00B0479E" w:rsidRDefault="00B0479E" w:rsidP="00DD3144"/>
        </w:tc>
        <w:tc>
          <w:tcPr>
            <w:tcW w:w="1530" w:type="dxa"/>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79F426CB" w14:textId="77777777" w:rsidR="00B0479E" w:rsidRDefault="00B0479E" w:rsidP="00DD3144"/>
        </w:tc>
        <w:tc>
          <w:tcPr>
            <w:tcW w:w="1530" w:type="dxa"/>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407AD89C" w14:textId="77777777" w:rsidR="00B0479E" w:rsidRDefault="00B0479E" w:rsidP="00DD3144"/>
        </w:tc>
        <w:tc>
          <w:tcPr>
            <w:tcW w:w="1530" w:type="dxa"/>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0FB585A8" w14:textId="77777777" w:rsidR="00B0479E" w:rsidRDefault="00B0479E" w:rsidP="00DD3144"/>
        </w:tc>
        <w:tc>
          <w:tcPr>
            <w:tcW w:w="1530" w:type="dxa"/>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1BAE4A5F" w14:textId="77777777" w:rsidR="00B0479E" w:rsidRDefault="00B0479E" w:rsidP="00DD3144"/>
        </w:tc>
        <w:tc>
          <w:tcPr>
            <w:tcW w:w="1530" w:type="dxa"/>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43EB5690" w14:textId="77777777" w:rsidR="00B0479E" w:rsidRDefault="00B0479E" w:rsidP="00DD3144"/>
        </w:tc>
        <w:tc>
          <w:tcPr>
            <w:tcW w:w="1530" w:type="dxa"/>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73DD5EA3" w14:textId="77777777" w:rsidR="00482A75" w:rsidRDefault="00482A75"/>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0E847C31" w14:textId="77777777" w:rsidR="00482A75" w:rsidRDefault="00482A75"/>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0B9D29B6" w14:textId="77777777" w:rsidR="00482A75" w:rsidRDefault="00482A75"/>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2755F0A7" w14:textId="77777777" w:rsidR="00482A75" w:rsidRDefault="00EF433F">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26FDFFBA" w14:textId="77777777" w:rsidR="00482A75" w:rsidRDefault="00EF433F">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794839DD" w14:textId="77777777" w:rsidR="00482A75" w:rsidRDefault="00482A75"/>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2E0D56F" w14:textId="77777777" w:rsidR="00482A75" w:rsidRDefault="00EF433F">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668F0CB" w14:textId="77777777" w:rsidR="00482A75" w:rsidRDefault="00EF433F">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62EA840B" w14:textId="77777777" w:rsidR="00482A75" w:rsidRDefault="00EF433F">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59D89434" w14:textId="77777777" w:rsidR="00482A75" w:rsidRDefault="00EF433F">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64BA728B" w14:textId="77777777" w:rsidR="00482A75" w:rsidRDefault="00EF433F">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5FC92EAA" w14:textId="77777777" w:rsidR="00482A75" w:rsidRDefault="00482A75"/>
        </w:tc>
      </w:tr>
      <w:tr w:rsidR="00484663" w14:paraId="3F0F196A" w14:textId="77777777" w:rsidTr="00493D04">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44100660" w14:textId="77777777" w:rsidR="00482A75" w:rsidRDefault="00EF433F">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5D169D1" w14:textId="77777777" w:rsidR="00482A75" w:rsidRDefault="00EF433F">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3DD541B4" w14:textId="77777777" w:rsidR="00482A75" w:rsidRDefault="00EF433F">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7777777" w:rsidR="00484663" w:rsidRDefault="00484663" w:rsidP="00DD3144"/>
        </w:tc>
        <w:tc>
          <w:tcPr>
            <w:tcW w:w="1530" w:type="dxa"/>
            <w:vAlign w:val="center"/>
          </w:tcPr>
          <w:p w14:paraId="046D9BE7" w14:textId="0965D499" w:rsidR="00484663" w:rsidRDefault="00484663" w:rsidP="00DD3144"/>
        </w:tc>
      </w:tr>
      <w:tr w:rsidR="00484663" w14:paraId="69D8FE15" w14:textId="77777777" w:rsidTr="00493D04">
        <w:trPr>
          <w:trHeight w:val="224"/>
        </w:trPr>
        <w:tc>
          <w:tcPr>
            <w:tcW w:w="828" w:type="dxa"/>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43575BB4" w14:textId="77777777" w:rsidR="00484663" w:rsidRDefault="00484663" w:rsidP="00DD3144"/>
        </w:tc>
        <w:tc>
          <w:tcPr>
            <w:tcW w:w="1530" w:type="dxa"/>
            <w:vAlign w:val="center"/>
          </w:tcPr>
          <w:p w14:paraId="0D936010" w14:textId="1837532B" w:rsidR="00484663" w:rsidRDefault="00484663" w:rsidP="00DD3144"/>
        </w:tc>
      </w:tr>
      <w:tr w:rsidR="00484663" w14:paraId="230C62FB" w14:textId="77777777" w:rsidTr="00493D04">
        <w:trPr>
          <w:trHeight w:val="224"/>
        </w:trPr>
        <w:tc>
          <w:tcPr>
            <w:tcW w:w="828" w:type="dxa"/>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5A5C0BA3" w14:textId="77777777" w:rsidR="00484663" w:rsidRDefault="00484663" w:rsidP="00DD3144"/>
        </w:tc>
        <w:tc>
          <w:tcPr>
            <w:tcW w:w="1530" w:type="dxa"/>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39467ADF" w14:textId="05443E85" w:rsidR="00482A75" w:rsidRDefault="00A73A76">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32E96064" w:rsidR="00484663" w:rsidRDefault="00484663" w:rsidP="00DD3144"/>
        </w:tc>
        <w:tc>
          <w:tcPr>
            <w:tcW w:w="1620" w:type="dxa"/>
            <w:vAlign w:val="center"/>
          </w:tcPr>
          <w:p w14:paraId="736B437E" w14:textId="2F4CFC88" w:rsidR="00484663" w:rsidRDefault="00F61F2B" w:rsidP="00DD3144">
            <w:r>
              <w:t>X</w:t>
            </w:r>
          </w:p>
        </w:tc>
        <w:tc>
          <w:tcPr>
            <w:tcW w:w="1530" w:type="dxa"/>
            <w:vAlign w:val="center"/>
          </w:tcPr>
          <w:p w14:paraId="0817B9D5" w14:textId="77777777" w:rsidR="00484663" w:rsidRDefault="00484663" w:rsidP="00DD3144"/>
          <w:p w14:paraId="5FE486BD" w14:textId="261F1536" w:rsidR="00482A75" w:rsidRDefault="00482A75"/>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5D11F6AC" w14:textId="117D887E" w:rsidR="00482A75" w:rsidRDefault="00A73A76">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1531018C" w14:textId="17EA1561" w:rsidR="00482A75" w:rsidRDefault="00A73A76">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p w14:paraId="14152244" w14:textId="0A42E848" w:rsidR="00482A75" w:rsidRDefault="00A73A76">
            <w:r>
              <w:t>X</w:t>
            </w:r>
          </w:p>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09D04C58" w14:textId="43D5D4EB" w:rsidR="00482A75" w:rsidRDefault="00A73A76">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170D83F1" w14:textId="7D560F23" w:rsidR="00482A75" w:rsidRDefault="00A73A76">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7C8B8253" w14:textId="698FB4C3" w:rsidR="00482A75" w:rsidRDefault="00482A75"/>
        </w:tc>
        <w:tc>
          <w:tcPr>
            <w:tcW w:w="1530" w:type="dxa"/>
            <w:vAlign w:val="center"/>
          </w:tcPr>
          <w:p w14:paraId="6BB3D640" w14:textId="5D0591AB" w:rsidR="00484663" w:rsidRDefault="00CA52DB" w:rsidP="00DD3144">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0F1398D3" w14:textId="49169134" w:rsidR="00482A75" w:rsidRDefault="00A73A76">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vAlign w:val="center"/>
          </w:tcPr>
          <w:p w14:paraId="3B9A5985" w14:textId="77777777" w:rsidR="00484663" w:rsidRDefault="00484663" w:rsidP="00DD3144"/>
          <w:p w14:paraId="7DDA9510" w14:textId="6FEC88B0" w:rsidR="00482A75" w:rsidRDefault="00A73A76">
            <w:r>
              <w:t>No</w:t>
            </w:r>
          </w:p>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vAlign w:val="center"/>
          </w:tcPr>
          <w:p w14:paraId="30CD4497" w14:textId="77777777" w:rsidR="00484663" w:rsidRDefault="00484663" w:rsidP="00DD3144"/>
          <w:p w14:paraId="459592C7" w14:textId="52930FF3" w:rsidR="00482A75" w:rsidRDefault="00A73A76">
            <w:r>
              <w:t>N</w:t>
            </w:r>
            <w:r w:rsidR="00F61F2B">
              <w:t>o</w:t>
            </w:r>
          </w:p>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vAlign w:val="center"/>
          </w:tcPr>
          <w:p w14:paraId="01FA9906" w14:textId="659E5215" w:rsidR="00484663" w:rsidRDefault="00A73A76" w:rsidP="00DD3144">
            <w:r>
              <w:t>N/A</w:t>
            </w:r>
          </w:p>
          <w:p w14:paraId="162CC1D3" w14:textId="77777777" w:rsidR="00482A75" w:rsidRDefault="00482A75"/>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vAlign w:val="center"/>
          </w:tcPr>
          <w:p w14:paraId="69C22B85" w14:textId="77777777" w:rsidR="00484663" w:rsidRDefault="00484663" w:rsidP="00DD3144"/>
          <w:p w14:paraId="4E1473D9" w14:textId="70183B1A" w:rsidR="00482A75" w:rsidRDefault="00A73A76">
            <w:r>
              <w:t>N/A</w:t>
            </w:r>
          </w:p>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vAlign w:val="center"/>
          </w:tcPr>
          <w:p w14:paraId="64648B26" w14:textId="77777777" w:rsidR="00484663" w:rsidRDefault="00484663" w:rsidP="00DD3144"/>
          <w:p w14:paraId="01AD2E84" w14:textId="2FA94EA4" w:rsidR="00482A75" w:rsidRDefault="00A73A76">
            <w:r>
              <w:t>No</w:t>
            </w:r>
          </w:p>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vAlign w:val="center"/>
          </w:tcPr>
          <w:p w14:paraId="05233166" w14:textId="77777777" w:rsidR="00484663" w:rsidRDefault="00484663" w:rsidP="00DD3144"/>
          <w:p w14:paraId="6BDE39E5" w14:textId="45D93827" w:rsidR="00482A75" w:rsidRDefault="00A73A76">
            <w:r>
              <w:t>N/A</w:t>
            </w:r>
          </w:p>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vAlign w:val="center"/>
          </w:tcPr>
          <w:p w14:paraId="7B755924" w14:textId="77777777" w:rsidR="00484663" w:rsidRDefault="00484663" w:rsidP="00DD3144"/>
          <w:p w14:paraId="475FEC05" w14:textId="44742FEB" w:rsidR="00482A75" w:rsidRDefault="00CA52DB">
            <w:r>
              <w:t>N/A</w:t>
            </w:r>
          </w:p>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vAlign w:val="center"/>
          </w:tcPr>
          <w:p w14:paraId="7EF287D9" w14:textId="1409C921" w:rsidR="00484663" w:rsidRDefault="00CA52DB" w:rsidP="00DD3144">
            <w:r>
              <w:t>N/A</w:t>
            </w:r>
          </w:p>
          <w:p w14:paraId="45EE66E4" w14:textId="77777777" w:rsidR="00482A75" w:rsidRDefault="00482A75"/>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vAlign w:val="center"/>
          </w:tcPr>
          <w:p w14:paraId="6BFA0E93" w14:textId="0B2A8F99" w:rsidR="00484663" w:rsidRDefault="00CA52DB" w:rsidP="00DD3144">
            <w:r>
              <w:t>N/A</w:t>
            </w:r>
          </w:p>
          <w:p w14:paraId="65EE01F5" w14:textId="77777777" w:rsidR="00482A75" w:rsidRDefault="00482A75"/>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vAlign w:val="center"/>
          </w:tcPr>
          <w:p w14:paraId="2D2B54FE" w14:textId="77777777" w:rsidR="00484663" w:rsidRDefault="00484663" w:rsidP="00DD3144"/>
          <w:p w14:paraId="76CDF8A1" w14:textId="77777777" w:rsidR="00482A75" w:rsidRDefault="00EF433F">
            <w:r>
              <w:t>Chapter III: Management of Sustainability Risks Chapter IV: Sustainability Policy Chapter V: Sustainability Reporting</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56C83684" w14:textId="77777777" w:rsidR="00482A75" w:rsidRDefault="00EF433F">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59E053DF" w14:textId="77777777" w:rsidR="00482A75" w:rsidRDefault="00EF433F">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0DFE7DC3" w14:textId="77777777" w:rsidR="00482A75" w:rsidRDefault="00EF433F">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772B5CF5" w14:textId="77777777" w:rsidR="00482A75" w:rsidRDefault="00EF433F">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59A08E8" w14:textId="77777777" w:rsidR="00482A75" w:rsidRDefault="00EF433F">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11548753" w14:textId="77777777" w:rsidR="00482A75" w:rsidRDefault="00EF433F">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72D822DD" w14:textId="77777777" w:rsidR="00482A75" w:rsidRDefault="00EF433F">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68BE5C76" w14:textId="77777777" w:rsidR="00482A75" w:rsidRDefault="00EF433F">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69EE1586" w14:textId="77777777" w:rsidR="00482A75" w:rsidRDefault="00EF433F">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6DBC9CC7" w14:textId="77777777" w:rsidR="00482A75" w:rsidRDefault="00EF433F">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77D77C18" w14:textId="77777777" w:rsidR="00482A75" w:rsidRDefault="00EF433F">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20C0A406" w14:textId="77777777" w:rsidR="00482A75" w:rsidRDefault="00EF433F">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19614509" w14:textId="77777777" w:rsidR="00482A75" w:rsidRDefault="00EF433F">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43A22F5B" w14:textId="77777777" w:rsidR="00482A75" w:rsidRDefault="00EF433F">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3FFF7BAB" w14:textId="77777777" w:rsidR="00482A75" w:rsidRDefault="00482A75"/>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47381F25" w14:textId="77777777" w:rsidR="00482A75" w:rsidRDefault="00482A75"/>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4F0FA7FB" w14:textId="77777777" w:rsidR="00482A75" w:rsidRDefault="00482A75"/>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26AC2459" w14:textId="77777777" w:rsidR="00482A75" w:rsidRDefault="00482A75"/>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34FB2DD8" w14:textId="77777777" w:rsidR="00482A75" w:rsidRDefault="00482A75"/>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231A8433" w14:textId="77777777" w:rsidR="00482A75" w:rsidRDefault="00482A75"/>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4B4E4C01" w14:textId="77777777" w:rsidR="00482A75" w:rsidRDefault="00482A75"/>
        </w:tc>
      </w:tr>
      <w:tr w:rsidR="004F276F" w:rsidRPr="007D4F5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E4D7F" w:rsidRDefault="004F276F" w:rsidP="00C37D48">
            <w:pPr>
              <w:rPr>
                <w:rFonts w:ascii="Calibri" w:hAnsi="Calibri" w:cs="Calibri"/>
                <w:lang w:val="fr-FR"/>
              </w:rPr>
            </w:pPr>
            <w:r w:rsidRPr="00EE4D7F">
              <w:rPr>
                <w:rFonts w:ascii="Calibri" w:hAnsi="Calibri" w:cs="Calibri"/>
                <w:lang w:val="fr-FR"/>
              </w:rPr>
              <w:t>Minimum revenue (Enter minimum revenue)</w:t>
            </w:r>
          </w:p>
        </w:tc>
        <w:tc>
          <w:tcPr>
            <w:tcW w:w="4894" w:type="dxa"/>
            <w:gridSpan w:val="4"/>
            <w:vAlign w:val="center"/>
          </w:tcPr>
          <w:p w14:paraId="6AD40C56" w14:textId="77777777" w:rsidR="004F276F" w:rsidRPr="00EE4D7F" w:rsidRDefault="004F276F" w:rsidP="00C37D48">
            <w:pPr>
              <w:rPr>
                <w:rFonts w:ascii="Calibri" w:hAnsi="Calibri" w:cs="Calibri"/>
                <w:lang w:val="fr-FR"/>
              </w:rPr>
            </w:pPr>
          </w:p>
          <w:p w14:paraId="15C6940A" w14:textId="77777777" w:rsidR="00482A75" w:rsidRPr="00EE4D7F" w:rsidRDefault="00482A75">
            <w:pPr>
              <w:rPr>
                <w:lang w:val="fr-FR"/>
              </w:rPr>
            </w:pPr>
          </w:p>
        </w:tc>
      </w:tr>
      <w:tr w:rsidR="004F276F" w:rsidRPr="00EE4D7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7E29F6A8" w14:textId="77777777" w:rsidR="00482A75" w:rsidRPr="00EE4D7F" w:rsidRDefault="00482A75">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2AE87F9F" w14:textId="77777777" w:rsidR="00482A75" w:rsidRDefault="00482A75"/>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3474C284" w14:textId="77777777" w:rsidR="00482A75" w:rsidRDefault="00482A75"/>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7E570DED" w14:textId="77777777" w:rsidR="00482A75" w:rsidRDefault="00482A75"/>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6CBE4457" w14:textId="77777777" w:rsidR="00482A75" w:rsidRDefault="00482A75"/>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5A50B890" w14:textId="77777777" w:rsidR="00482A75" w:rsidRDefault="00482A75"/>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65C548FF" w14:textId="77777777" w:rsidR="00482A75" w:rsidRDefault="00482A75"/>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p w14:paraId="5C8E52ED" w14:textId="77777777" w:rsidR="00482A75" w:rsidRDefault="00482A75"/>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5B102457" w14:textId="77777777" w:rsidR="00482A75" w:rsidRDefault="00482A75"/>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154EFA12" w14:textId="77777777" w:rsidR="00482A75" w:rsidRDefault="00482A75"/>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p w14:paraId="11DC3D90" w14:textId="77777777" w:rsidR="00482A75" w:rsidRDefault="00482A75"/>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4932798E" w14:textId="77777777" w:rsidR="00482A75" w:rsidRDefault="00482A75"/>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7D4F5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E4D7F" w:rsidRDefault="003A2E5E" w:rsidP="00C37D48">
            <w:pPr>
              <w:rPr>
                <w:rFonts w:ascii="Calibri" w:hAnsi="Calibri" w:cs="Calibri"/>
                <w:lang w:val="fr-FR"/>
              </w:rPr>
            </w:pPr>
            <w:r w:rsidRPr="00EE4D7F">
              <w:rPr>
                <w:rFonts w:ascii="Calibri" w:hAnsi="Calibri" w:cs="Calibri"/>
                <w:lang w:val="fr-FR"/>
              </w:rPr>
              <w:t>Carbon dioxide equivalent (CO₂e)  </w:t>
            </w:r>
          </w:p>
        </w:tc>
        <w:tc>
          <w:tcPr>
            <w:tcW w:w="5300" w:type="dxa"/>
            <w:gridSpan w:val="3"/>
            <w:vAlign w:val="center"/>
          </w:tcPr>
          <w:p w14:paraId="4064936F" w14:textId="77777777" w:rsidR="003A2E5E" w:rsidRPr="00EE4D7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306E17ED" w14:textId="77777777" w:rsidR="00482A75" w:rsidRDefault="00482A75"/>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0A98A2B0" w14:textId="77777777" w:rsidR="00482A75" w:rsidRDefault="00482A75"/>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1CA5E746" w14:textId="77777777" w:rsidR="00482A75" w:rsidRDefault="00482A75"/>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23A617C9" w14:textId="77777777" w:rsidR="00482A75" w:rsidRDefault="00482A75"/>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35EB4C11" w14:textId="77777777" w:rsidR="00482A75" w:rsidRDefault="00482A75"/>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1ED1FE0C" w14:textId="77777777" w:rsidR="00482A75" w:rsidRDefault="00482A75"/>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90BCBFA" w14:textId="77777777" w:rsidR="00482A75" w:rsidRDefault="00482A75"/>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549D29CF" w14:textId="77777777" w:rsidR="00482A75" w:rsidRDefault="00482A75"/>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2C59CAEF" w14:textId="77777777" w:rsidR="00482A75" w:rsidRDefault="00482A75"/>
        </w:tc>
      </w:tr>
    </w:tbl>
    <w:p w14:paraId="210AC363" w14:textId="10F0C3B9" w:rsidR="005C7DF6" w:rsidRDefault="005C7DF6">
      <w:r>
        <w:br w:type="page"/>
      </w:r>
    </w:p>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0BCAF969" w14:textId="77777777" w:rsidR="00482A75" w:rsidRDefault="00482A75"/>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04CEE8AC" w14:textId="77777777" w:rsidR="00482A75" w:rsidRDefault="00482A75"/>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10C0B274" w14:textId="77777777" w:rsidR="00482A75" w:rsidRDefault="00482A75"/>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4B8AC6CF" w14:textId="77777777" w:rsidR="00482A75" w:rsidRDefault="00482A75"/>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25F9D5A8" w14:textId="77777777" w:rsidR="00482A75" w:rsidRDefault="00482A75"/>
        </w:tc>
      </w:tr>
      <w:tr w:rsidR="00241257" w:rsidRPr="007D4F5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E4D7F" w:rsidRDefault="00C66EE0" w:rsidP="00610F28">
            <w:pPr>
              <w:rPr>
                <w:rFonts w:ascii="Calibri" w:hAnsi="Calibri" w:cs="Calibri"/>
                <w:lang w:val="fr-FR"/>
              </w:rPr>
            </w:pPr>
            <w:r w:rsidRPr="00EE4D7F">
              <w:rPr>
                <w:rFonts w:ascii="Calibri" w:hAnsi="Calibri" w:cs="Calibri"/>
                <w:lang w:val="fr-FR"/>
              </w:rPr>
              <w:t>Minimum revenue (Enter minimum revenue)</w:t>
            </w:r>
          </w:p>
        </w:tc>
        <w:tc>
          <w:tcPr>
            <w:tcW w:w="5220" w:type="dxa"/>
            <w:gridSpan w:val="3"/>
            <w:vAlign w:val="center"/>
          </w:tcPr>
          <w:p w14:paraId="6BA41E6D" w14:textId="77777777" w:rsidR="00C66EE0" w:rsidRPr="00EE4D7F" w:rsidRDefault="00C66EE0" w:rsidP="00610F28">
            <w:pPr>
              <w:rPr>
                <w:rFonts w:ascii="Calibri" w:hAnsi="Calibri" w:cs="Calibri"/>
                <w:lang w:val="fr-FR"/>
              </w:rPr>
            </w:pPr>
          </w:p>
          <w:p w14:paraId="7C865B6E" w14:textId="77777777" w:rsidR="00482A75" w:rsidRPr="00EE4D7F" w:rsidRDefault="00482A75">
            <w:pPr>
              <w:rPr>
                <w:lang w:val="fr-FR"/>
              </w:rPr>
            </w:pPr>
          </w:p>
        </w:tc>
      </w:tr>
      <w:tr w:rsidR="00241257" w:rsidRPr="00EE4D7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496E7D27" w14:textId="77777777" w:rsidR="00482A75" w:rsidRPr="00EE4D7F" w:rsidRDefault="00482A75">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2EC4141D" w14:textId="77777777" w:rsidR="00482A75" w:rsidRDefault="00482A75"/>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3344794C" w14:textId="77777777" w:rsidR="00482A75" w:rsidRDefault="00482A75"/>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64EE2D80" w14:textId="77777777" w:rsidR="00482A75" w:rsidRDefault="00482A75"/>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20547FFD" w14:textId="77777777" w:rsidR="00482A75" w:rsidRDefault="00482A75"/>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64BEC362" w14:textId="77777777" w:rsidR="00482A75" w:rsidRDefault="00482A75"/>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055A6278" w14:textId="77777777" w:rsidR="00482A75" w:rsidRDefault="00482A75"/>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77803D3A" w14:textId="77777777" w:rsidR="00482A75" w:rsidRDefault="00482A75"/>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0DB9DDA6" w14:textId="77777777" w:rsidR="00482A75" w:rsidRDefault="00482A75"/>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2E78DB49" w14:textId="77777777" w:rsidR="00482A75" w:rsidRDefault="00482A75"/>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6D8138EA" w14:textId="77777777" w:rsidR="00482A75" w:rsidRDefault="00482A75"/>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11714818" w14:textId="77777777" w:rsidR="00482A75" w:rsidRDefault="00482A75"/>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41E78787" w14:textId="77777777" w:rsidR="00482A75" w:rsidRDefault="00482A75"/>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6A471278" w14:textId="77777777" w:rsidR="00482A75" w:rsidRDefault="00482A75"/>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39C69EC" w14:textId="77777777" w:rsidR="00482A75" w:rsidRDefault="00482A75"/>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629864E3" w14:textId="77777777" w:rsidR="00482A75" w:rsidRDefault="00482A75"/>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B6356B9" w14:textId="77777777" w:rsidR="00482A75" w:rsidRDefault="00482A75"/>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7D02AD27" w14:textId="77777777" w:rsidR="00482A75" w:rsidRDefault="00482A75"/>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AB9A8FA" w14:textId="77777777" w:rsidR="00482A75" w:rsidRDefault="00482A75"/>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6F9469BE" w14:textId="77777777" w:rsidR="00482A75" w:rsidRDefault="00482A75"/>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BA97F95" w14:textId="77777777" w:rsidR="00482A75" w:rsidRDefault="00482A75"/>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20903DCA" w14:textId="77777777" w:rsidR="00482A75" w:rsidRDefault="00482A75"/>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589F2CDF" w14:textId="77777777" w:rsidR="00482A75" w:rsidRDefault="00482A75"/>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6D895395" w14:textId="77777777" w:rsidR="00482A75" w:rsidRDefault="00482A75"/>
        </w:tc>
      </w:tr>
    </w:tbl>
    <w:p w14:paraId="422E378B" w14:textId="491B3973" w:rsidR="466E435B" w:rsidRDefault="466E435B">
      <w:r>
        <w:br w:type="page"/>
      </w:r>
    </w:p>
    <w:p w14:paraId="74274155" w14:textId="77777777" w:rsidR="00D4323A" w:rsidRDefault="00D4323A" w:rsidP="466E435B">
      <w:pPr>
        <w:pStyle w:val="Ttulo1"/>
      </w:pPr>
      <w:bookmarkStart w:id="25" w:name="_Toc198223622"/>
      <w:r>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48585C89" w14:textId="77777777" w:rsidR="00482A75" w:rsidRDefault="00482A75"/>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00E2D2B5" w14:textId="77777777" w:rsidR="00482A75" w:rsidRDefault="00482A75"/>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18BA228D" w14:textId="77777777" w:rsidR="00482A75" w:rsidRDefault="00482A75"/>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37CC48ED" w14:textId="77777777" w:rsidR="00482A75" w:rsidRDefault="00482A75"/>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331678F0" w14:textId="77777777" w:rsidR="00482A75" w:rsidRDefault="00482A75"/>
        </w:tc>
      </w:tr>
      <w:tr w:rsidR="00092534" w:rsidRPr="007D4F5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EE4D7F" w:rsidRDefault="00092534" w:rsidP="00CF2E7C">
            <w:pPr>
              <w:rPr>
                <w:rFonts w:ascii="Calibri" w:hAnsi="Calibri" w:cs="Calibri"/>
                <w:lang w:val="fr-FR"/>
              </w:rPr>
            </w:pPr>
            <w:r w:rsidRPr="00EE4D7F">
              <w:rPr>
                <w:rFonts w:ascii="Calibri" w:hAnsi="Calibri" w:cs="Calibri"/>
                <w:lang w:val="fr-FR"/>
              </w:rPr>
              <w:t>Minimum revenue (Enter minimum revenue)</w:t>
            </w:r>
          </w:p>
        </w:tc>
        <w:tc>
          <w:tcPr>
            <w:tcW w:w="4983" w:type="dxa"/>
            <w:gridSpan w:val="5"/>
            <w:vAlign w:val="center"/>
          </w:tcPr>
          <w:p w14:paraId="7AD6A409" w14:textId="77777777" w:rsidR="00092534" w:rsidRPr="00EE4D7F" w:rsidRDefault="00092534" w:rsidP="00CF2E7C">
            <w:pPr>
              <w:rPr>
                <w:rFonts w:ascii="Calibri" w:hAnsi="Calibri" w:cs="Calibri"/>
                <w:lang w:val="fr-FR"/>
              </w:rPr>
            </w:pPr>
          </w:p>
          <w:p w14:paraId="002A6044" w14:textId="77777777" w:rsidR="00482A75" w:rsidRPr="00EE4D7F" w:rsidRDefault="00482A75">
            <w:pPr>
              <w:rPr>
                <w:lang w:val="fr-FR"/>
              </w:rPr>
            </w:pPr>
          </w:p>
        </w:tc>
      </w:tr>
      <w:tr w:rsidR="00092534" w:rsidRPr="00EE4D7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74BBB258" w14:textId="77777777" w:rsidR="00482A75" w:rsidRPr="00EE4D7F" w:rsidRDefault="00482A75">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5FB5C92A" w14:textId="77777777" w:rsidR="00482A75" w:rsidRDefault="00482A75"/>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5BF32766" w14:textId="77777777" w:rsidR="00482A75" w:rsidRDefault="00482A75"/>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1A3B576A" w14:textId="77777777" w:rsidR="00482A75" w:rsidRDefault="00482A75"/>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71952B70" w14:textId="77777777" w:rsidR="00482A75" w:rsidRDefault="00482A75"/>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02B04ECB" w14:textId="77777777" w:rsidR="00482A75" w:rsidRDefault="00482A75"/>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40CB72D3" w14:textId="77777777" w:rsidR="00482A75" w:rsidRDefault="00482A75"/>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5800E185" w14:textId="77777777" w:rsidR="00482A75" w:rsidRDefault="00482A75"/>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34D88621" w14:textId="77777777" w:rsidR="00482A75" w:rsidRDefault="00482A75"/>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19E7F85" w14:textId="77777777" w:rsidR="00482A75" w:rsidRDefault="00482A75"/>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88F01DB" w14:textId="77777777" w:rsidR="00482A75" w:rsidRDefault="00482A75"/>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5147282B" w14:textId="77777777" w:rsidR="00482A75" w:rsidRDefault="00482A75"/>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31DCCBE5" w14:textId="77777777" w:rsidR="00482A75" w:rsidRDefault="00482A75"/>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E86D499" w14:textId="77777777" w:rsidR="00482A75" w:rsidRDefault="00482A75"/>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596EB91" w14:textId="77777777" w:rsidR="00482A75" w:rsidRDefault="00482A75"/>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9D7E86D" w14:textId="77777777" w:rsidR="00482A75" w:rsidRDefault="00482A75"/>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4AFC73C4" w14:textId="77777777" w:rsidR="00482A75" w:rsidRDefault="00482A75"/>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51F1FBB2" w14:textId="77777777" w:rsidR="00482A75" w:rsidRDefault="00482A75"/>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4B51BF2B" w14:textId="77777777" w:rsidR="00482A75" w:rsidRDefault="00482A75"/>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1A1FB6DB" w14:textId="77777777" w:rsidR="00482A75" w:rsidRDefault="00482A75"/>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DB6A80E" w14:textId="77777777" w:rsidR="00482A75" w:rsidRDefault="00482A75"/>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7359F946" w14:textId="77777777" w:rsidR="00482A75" w:rsidRDefault="00482A75"/>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5DBCEA9D" w14:textId="77777777" w:rsidR="00482A75" w:rsidRDefault="00482A75"/>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3381705D" w14:textId="77777777" w:rsidR="00482A75" w:rsidRDefault="00482A75"/>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7C065C6" w14:textId="77777777" w:rsidR="00482A75" w:rsidRDefault="00482A75"/>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48EDEE0" w:rsidR="00D4323A" w:rsidRPr="00CF2E7C" w:rsidRDefault="0050261E"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43F9BB9" w:rsidR="00D4323A" w:rsidRPr="00CF2E7C" w:rsidRDefault="0050261E"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3FE9254" w:rsidR="00D4323A" w:rsidRPr="00CF2E7C" w:rsidRDefault="0050261E"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23DC861" w:rsidR="00D4323A" w:rsidRPr="00CF2E7C" w:rsidRDefault="0050261E"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34481B7D" w:rsidR="00D4323A" w:rsidRPr="00CF2E7C" w:rsidRDefault="002446E9"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3F7DCFB" w:rsidR="00D4323A" w:rsidRPr="00CF2E7C" w:rsidRDefault="002446E9"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D84DB3D" w:rsidR="00D4323A" w:rsidRPr="00CF2E7C" w:rsidRDefault="002446E9"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20F62CA" w:rsidR="00D4323A" w:rsidRPr="00CF2E7C" w:rsidRDefault="002446E9"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6EDE33C0" w:rsidR="00D4323A" w:rsidRPr="00CF2E7C" w:rsidRDefault="002446E9"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7F374B1" w:rsidR="00D4323A" w:rsidRPr="00CF2E7C" w:rsidRDefault="002446E9"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24579BB" w:rsidR="00D4323A" w:rsidRPr="00CF2E7C" w:rsidRDefault="002446E9"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0D07B5EB" w:rsidR="00D4323A" w:rsidRPr="00CF2E7C" w:rsidRDefault="0050261E" w:rsidP="00CF2E7C">
            <w:pPr>
              <w:rPr>
                <w:rFonts w:ascii="Calibri" w:hAnsi="Calibri" w:cs="Calibri"/>
              </w:rPr>
            </w:pPr>
            <w:r>
              <w:rPr>
                <w:rFonts w:ascii="Calibri" w:hAnsi="Calibri" w:cs="Calibri"/>
              </w:rPr>
              <w:t>X</w:t>
            </w: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59FE3E9" w:rsidR="00D4323A" w:rsidRPr="00CF2E7C" w:rsidRDefault="002446E9"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7B0D0311" w14:textId="77777777" w:rsidR="00482A75" w:rsidRDefault="00482A75"/>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3AC2E0F5" w:rsidR="00DD292A" w:rsidRPr="00CF2E7C" w:rsidRDefault="002446E9"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FBBE133" w:rsidR="00DD292A" w:rsidRPr="00CF2E7C" w:rsidRDefault="002446E9"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4CD569D0" w:rsidR="00DD292A" w:rsidRPr="00CF2E7C" w:rsidRDefault="002446E9"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57D3199" w:rsidR="00DD292A" w:rsidRPr="00CF2E7C" w:rsidRDefault="002446E9"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6C4955C" w:rsidR="00DD292A" w:rsidRPr="00CF2E7C" w:rsidRDefault="002446E9"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9D9E1D7" w:rsidR="00DD292A" w:rsidRPr="00CF2E7C" w:rsidRDefault="002446E9"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3D3B8E79" w14:textId="77777777" w:rsidR="00482A75" w:rsidRDefault="00482A75"/>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1979326D" w:rsidR="00DD292A" w:rsidRPr="00CF2E7C" w:rsidRDefault="002446E9"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3E404C0" w:rsidR="00DD292A" w:rsidRPr="00CF2E7C" w:rsidRDefault="002446E9"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146EA02" w:rsidR="00DD292A" w:rsidRPr="00CF2E7C" w:rsidRDefault="002446E9"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19593F67" w:rsidR="00DD292A" w:rsidRPr="00CF2E7C" w:rsidRDefault="002446E9"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3F4FE24D" w:rsidR="00DD292A" w:rsidRPr="00CF2E7C" w:rsidRDefault="002446E9"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669A6229" w:rsidR="00DD292A" w:rsidRPr="00CF2E7C" w:rsidRDefault="002446E9"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591E30EE" w:rsidR="00DD292A" w:rsidRPr="00CF2E7C" w:rsidRDefault="002446E9"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6DA18AF7" w:rsidR="00DD292A" w:rsidRPr="00CF2E7C" w:rsidRDefault="002446E9"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371E1F0" w:rsidR="00DD292A" w:rsidRPr="00CF2E7C" w:rsidRDefault="002446E9"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4584FE62" w:rsidR="00DD292A" w:rsidRPr="00CF2E7C" w:rsidRDefault="002446E9"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7B2BBE5" w:rsidR="00DD292A" w:rsidRPr="00CF2E7C" w:rsidRDefault="002446E9"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6E47D6D3" w:rsidR="00DD292A" w:rsidRPr="00CF2E7C" w:rsidRDefault="002446E9"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268A86F8" w:rsidR="00DD292A" w:rsidRPr="00CF2E7C" w:rsidRDefault="002446E9"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AA53550" w:rsidR="00DD292A" w:rsidRPr="00CF2E7C" w:rsidRDefault="002446E9"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075006E5" w:rsidR="00DD292A" w:rsidRPr="00CF2E7C" w:rsidRDefault="002446E9"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A8A85AC" w:rsidR="00DD292A" w:rsidRPr="00CF2E7C" w:rsidRDefault="002446E9"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0B7ECB9" w:rsidR="00DD292A" w:rsidRPr="00CF2E7C" w:rsidRDefault="002446E9"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A7D5EDC" w:rsidR="00DD292A" w:rsidRPr="00CF2E7C" w:rsidRDefault="002446E9"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4C3C0A8D" w:rsidR="00DD292A" w:rsidRPr="00CF2E7C" w:rsidRDefault="002446E9"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2DD189C5" w:rsidR="00DD292A" w:rsidRPr="00CF2E7C" w:rsidRDefault="002446E9"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529BFEB2" w:rsidR="00DD292A" w:rsidRPr="00CF2E7C" w:rsidRDefault="002446E9"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21F022C8" w:rsidR="00DD292A" w:rsidRPr="00CF2E7C" w:rsidRDefault="002446E9"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30D595FE" w14:textId="77777777" w:rsidR="00482A75" w:rsidRDefault="00482A75"/>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0CE8098B" w14:textId="77777777" w:rsidR="00482A75" w:rsidRDefault="00482A75"/>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3CC2CBEC" w14:textId="77777777" w:rsidR="00482A75" w:rsidRDefault="00482A75"/>
        </w:tc>
      </w:tr>
      <w:tr w:rsidR="00DD292A" w:rsidRPr="00D7451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E4D7F" w:rsidRDefault="00DD292A" w:rsidP="00CF2E7C">
            <w:pPr>
              <w:rPr>
                <w:rFonts w:ascii="Calibri" w:hAnsi="Calibri" w:cs="Calibri"/>
                <w:lang w:val="fr-FR"/>
              </w:rPr>
            </w:pPr>
            <w:r w:rsidRPr="00EE4D7F">
              <w:rPr>
                <w:rFonts w:ascii="Calibri" w:hAnsi="Calibri" w:cs="Calibri"/>
                <w:lang w:val="fr-FR"/>
              </w:rPr>
              <w:t>Minimum revenue (Enter minimum revenue)</w:t>
            </w:r>
          </w:p>
        </w:tc>
        <w:tc>
          <w:tcPr>
            <w:tcW w:w="4993" w:type="dxa"/>
            <w:gridSpan w:val="6"/>
            <w:vAlign w:val="center"/>
          </w:tcPr>
          <w:p w14:paraId="5A15330D" w14:textId="77777777" w:rsidR="00DD292A" w:rsidRPr="00EE4D7F" w:rsidRDefault="00DD292A" w:rsidP="00CF2E7C">
            <w:pPr>
              <w:rPr>
                <w:rFonts w:ascii="Calibri" w:hAnsi="Calibri" w:cs="Calibri"/>
                <w:lang w:val="fr-FR"/>
              </w:rPr>
            </w:pPr>
          </w:p>
          <w:p w14:paraId="1815FFF1" w14:textId="77777777" w:rsidR="00482A75" w:rsidRPr="00EE4D7F" w:rsidRDefault="00482A75">
            <w:pPr>
              <w:rPr>
                <w:lang w:val="fr-FR"/>
              </w:rPr>
            </w:pPr>
          </w:p>
        </w:tc>
      </w:tr>
      <w:tr w:rsidR="00DD292A" w:rsidRPr="00EE4D7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1F0886E9" w14:textId="77777777" w:rsidR="00482A75" w:rsidRPr="00EE4D7F" w:rsidRDefault="00482A75">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252C61A0" w14:textId="77777777" w:rsidR="00482A75" w:rsidRDefault="00482A75"/>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32AA0DD1" w14:textId="77777777" w:rsidR="00482A75" w:rsidRDefault="00482A75"/>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40E0EAD6" w14:textId="3C9BC8A7" w:rsidR="00482A75" w:rsidRDefault="007144C4">
            <w:r>
              <w:t>Insurance companies, open private pension entities, capitalization societies and local reinsures are obligated to comply with the norm.         The regulation is applicable to all insurance and reinsurance companies.</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03EE8016" w:rsidR="00DD292A" w:rsidRPr="00CF2E7C" w:rsidRDefault="007144C4"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6AD64C90" w:rsidR="00DD292A" w:rsidRPr="00CF2E7C" w:rsidRDefault="001F14E6" w:rsidP="001F14E6">
            <w:pPr>
              <w:rPr>
                <w:rFonts w:ascii="Calibri" w:hAnsi="Calibri" w:cs="Calibri"/>
              </w:rPr>
            </w:pPr>
            <w:r>
              <w:t>Pursuant to paragraph 2, article 3 of the Circular No. 666, insurance and reinsurance companies operations whose sustainability risks are considered immaterial are exempted from the sustainability risk management requirements. However, all companies must disclose a sustainability policy and an annual report.</w:t>
            </w:r>
          </w:p>
          <w:p w14:paraId="0F9DDA67" w14:textId="77777777" w:rsidR="00482A75" w:rsidRDefault="00482A75"/>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0207BF05" w:rsidR="00DD3B33" w:rsidRPr="00CF2E7C" w:rsidRDefault="001F14E6"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50C6086" w:rsidR="00DD3B33" w:rsidRPr="00CF2E7C" w:rsidRDefault="001F14E6"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227CF4DC" w14:textId="77777777" w:rsidR="00936D80" w:rsidRDefault="00936D80" w:rsidP="00CF2E7C">
            <w:pPr>
              <w:rPr>
                <w:rFonts w:ascii="Calibri" w:hAnsi="Calibri" w:cs="Calibri"/>
              </w:rPr>
            </w:pPr>
            <w:r w:rsidRPr="00936D80">
              <w:rPr>
                <w:rFonts w:ascii="Calibri" w:hAnsi="Calibri" w:cs="Calibri"/>
              </w:rPr>
              <w:t xml:space="preserve">Fines of up to BRL 1 million (Decree-Law no 73/1966, Article 108 - https://www.planalto.gov.br/ccivil_03/decreto-lei/del0073.htm) </w:t>
            </w:r>
            <w:r>
              <w:rPr>
                <w:rFonts w:ascii="Calibri" w:hAnsi="Calibri" w:cs="Calibri"/>
              </w:rPr>
              <w:t xml:space="preserve"> </w:t>
            </w:r>
          </w:p>
          <w:p w14:paraId="4A0D01C5" w14:textId="77777777" w:rsidR="00936D80" w:rsidRDefault="00936D80" w:rsidP="00CF2E7C">
            <w:pPr>
              <w:rPr>
                <w:rFonts w:ascii="Calibri" w:hAnsi="Calibri" w:cs="Calibri"/>
              </w:rPr>
            </w:pPr>
            <w:r w:rsidRPr="00936D80">
              <w:rPr>
                <w:rFonts w:ascii="Calibri" w:hAnsi="Calibri" w:cs="Calibri"/>
              </w:rPr>
              <w:t xml:space="preserve">Restrictions of business operations (Decree-Law no 73/1966, Article 108 - https://www.planalto.gov.br/ccivil_03/decreto-lei/del0073.htm)        </w:t>
            </w:r>
          </w:p>
          <w:p w14:paraId="6BF4AF82" w14:textId="16AB70A4" w:rsidR="00DD3B33" w:rsidRPr="00CF2E7C" w:rsidRDefault="00936D80" w:rsidP="00CF2E7C">
            <w:pPr>
              <w:rPr>
                <w:rFonts w:ascii="Calibri" w:hAnsi="Calibri" w:cs="Calibri"/>
              </w:rPr>
            </w:pPr>
            <w:r w:rsidRPr="00936D80">
              <w:rPr>
                <w:rFonts w:ascii="Calibri" w:hAnsi="Calibri" w:cs="Calibri"/>
              </w:rPr>
              <w:t>Warnings (Decree-Law no 73/1966, Article 108 - https://www.planalto.gov.br/ccivil_03/decreto-lei/del0073.htm)</w:t>
            </w:r>
          </w:p>
          <w:p w14:paraId="35D05FE9" w14:textId="77777777" w:rsidR="00482A75" w:rsidRDefault="00482A75"/>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p w14:paraId="15FC33DB" w14:textId="77777777" w:rsidR="00482A75" w:rsidRDefault="00482A75"/>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57A1A17" w:rsidR="00DD292A" w:rsidRPr="00CF2E7C" w:rsidRDefault="00936D80"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075E139B" w14:textId="3F6D8C54" w:rsidR="00482A75" w:rsidRDefault="00AA1072">
            <w:r>
              <w:t>Circular SUSEP 666/2022 is in force since August/</w:t>
            </w:r>
            <w:proofErr w:type="gramStart"/>
            <w:r>
              <w:t>2022</w:t>
            </w:r>
            <w:proofErr w:type="gramEnd"/>
            <w:r>
              <w:t xml:space="preserve"> and the supervised companies must comply with that regulation. So far, there is no information regarding its non-compliance by one of SUSEP’s supervised entities.</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2EFA56C7" w:rsidR="00DD292A" w:rsidRPr="00CF2E7C" w:rsidRDefault="00AA1072"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35327" w:rsidRPr="009C4D10" w14:paraId="371169EF" w14:textId="77777777" w:rsidTr="00CF2E7C">
        <w:trPr>
          <w:trHeight w:val="1020"/>
        </w:trPr>
        <w:tc>
          <w:tcPr>
            <w:tcW w:w="1065" w:type="dxa"/>
            <w:vAlign w:val="center"/>
          </w:tcPr>
          <w:p w14:paraId="6C4F3A9E" w14:textId="77777777" w:rsidR="00535327" w:rsidRPr="00CF2E7C" w:rsidRDefault="00535327" w:rsidP="00535327">
            <w:pPr>
              <w:rPr>
                <w:rFonts w:ascii="Calibri" w:hAnsi="Calibri" w:cs="Calibri"/>
              </w:rPr>
            </w:pPr>
          </w:p>
        </w:tc>
        <w:tc>
          <w:tcPr>
            <w:tcW w:w="9375" w:type="dxa"/>
            <w:gridSpan w:val="7"/>
            <w:vAlign w:val="center"/>
          </w:tcPr>
          <w:p w14:paraId="3F22D9E1" w14:textId="68AD4E4D" w:rsidR="00535327" w:rsidRDefault="00535327" w:rsidP="00535327">
            <w:r w:rsidRPr="00BF0271">
              <w:rPr>
                <w:color w:val="000000" w:themeColor="text1"/>
              </w:rPr>
              <w:t>To date, no litigation concerning the policy tool has come to light.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3B20273" w:rsidR="00410853" w:rsidRPr="00CF2E7C" w:rsidRDefault="005F7D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370D6BE6" w14:textId="77777777" w:rsidR="00482A75" w:rsidRDefault="00482A75"/>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30D74E18" w:rsidR="00F632FB" w:rsidRPr="00CF2E7C" w:rsidRDefault="007E2E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4B5066B" w:rsidR="00F632FB" w:rsidRPr="00CF2E7C" w:rsidRDefault="007E2E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1AEA051F" w:rsidR="00F632FB" w:rsidRPr="00CF2E7C" w:rsidRDefault="007E2E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45781BD0" w:rsidR="00F632FB" w:rsidRPr="00CF2E7C" w:rsidRDefault="007E2E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E76ED22" w:rsidR="008C4722" w:rsidRPr="00CF2E7C" w:rsidRDefault="00111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25AB8DB" w:rsidR="008C4722" w:rsidRPr="00CF2E7C" w:rsidRDefault="00111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6A2330D6" w:rsidR="008C4722" w:rsidRPr="00CF2E7C" w:rsidRDefault="00111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DB793AD" w14:textId="1CB8067A" w:rsidR="00F901ED" w:rsidRDefault="007150EB" w:rsidP="00F901ED">
            <w:r w:rsidRPr="007150EB">
              <w:t>SUSEP Circular No. 666/2022 addresses the incidence of climate-related financial risks on supervised entities by requiring the integration of climate, environmental, and social risks—collectively referred to as sustainability risks—into their risk management frameworks</w:t>
            </w:r>
            <w:r w:rsidR="00F901ED">
              <w:t xml:space="preserve">. </w:t>
            </w:r>
            <w:r w:rsidR="00F901ED">
              <w:t>Specifically, under Chapter III (Articles 3 to 7), entities must</w:t>
            </w:r>
            <w:r w:rsidR="00F901ED">
              <w:t xml:space="preserve"> (i) c</w:t>
            </w:r>
            <w:r w:rsidR="00F901ED">
              <w:t>onduct a materiality assessment to identify, evaluate, and classify sustainability risks based on their probability and potential impact, considering the nature of their operations, clients, suppliers, and services (Art. 3)</w:t>
            </w:r>
            <w:r w:rsidR="00F901ED">
              <w:t>; (ii) i</w:t>
            </w:r>
            <w:r w:rsidR="00F901ED">
              <w:t>ntegrate these risks into their Internal Control Systems (SCI) and Risk Management Structures (EGR), adopting methodologies to monitor and manage exposures to sustainability risks (Art. 4)</w:t>
            </w:r>
            <w:r w:rsidR="00F901ED">
              <w:t xml:space="preserve">; (iii) </w:t>
            </w:r>
            <w:r w:rsidR="00F901ED">
              <w:t>or entities in the S1 and S2 segments, incorporate long-term projections of sustainability-related events into their quantitative risk models and maintain detailed records of losses, categorized by type of sustainability risk (Art. 4, III)</w:t>
            </w:r>
            <w:r w:rsidR="00F901ED">
              <w:t xml:space="preserve">; and (iv) </w:t>
            </w:r>
            <w:proofErr w:type="spellStart"/>
            <w:r w:rsidR="00F901ED">
              <w:t>onsider</w:t>
            </w:r>
            <w:proofErr w:type="spellEnd"/>
            <w:r w:rsidR="00F901ED">
              <w:t xml:space="preserve"> these risks in underwriting, investment, and supplier selection decisions, ensuring they are reflected in pricing, product offerings, and operational processes (Arts. 5 to 7)</w:t>
            </w:r>
            <w:r w:rsidR="00F901ED">
              <w:t xml:space="preserve">. </w:t>
            </w:r>
          </w:p>
          <w:p w14:paraId="18F12442" w14:textId="307C5AE3" w:rsidR="00482A75" w:rsidRDefault="00F901ED" w:rsidP="00F901ED">
            <w:r>
              <w:t>T</w:t>
            </w:r>
            <w:r>
              <w:t>hese requirements aim to ensure that climate-related risks—both physical and transition—as well as broader environmental and social risks, are systematically considered in the decision-making and governance processes of regulated entities. This integration reinforces the resilience of the financial sector to sustainability-related disruptions.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5A5BD13" w:rsidR="008C4722" w:rsidRPr="00CF2E7C" w:rsidRDefault="006E04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608B950" w14:textId="77777777" w:rsidR="00482A75" w:rsidRDefault="00482A75"/>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7165DD3C"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4DE86B2F" w:rsidR="007B7DEE" w:rsidRPr="00CF2E7C" w:rsidRDefault="001744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47BA1AE3" w14:textId="77777777" w:rsidR="00482A75" w:rsidRDefault="00482A75"/>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E7C2370" w:rsidR="00ED7E12" w:rsidRPr="00CF2E7C" w:rsidRDefault="004014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427592FE" w:rsidR="00ED7E12" w:rsidRPr="00CF2E7C" w:rsidRDefault="004014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9A654CD" w14:textId="5BA1CD5E" w:rsidR="00482A75" w:rsidRDefault="00B565C2" w:rsidP="00EE4D7F">
            <w:pPr>
              <w:textAlignment w:val="baseline"/>
            </w:pPr>
            <w:r w:rsidRPr="00B565C2">
              <w:rPr>
                <w:rFonts w:ascii="Calibri" w:eastAsia="Times New Roman" w:hAnsi="Calibri" w:cs="Calibri"/>
                <w:kern w:val="0"/>
                <w:lang w:eastAsia="en-GB"/>
                <w14:ligatures w14:val="none"/>
              </w:rPr>
              <w:t>The Circular SUSEP N</w:t>
            </w:r>
            <w:r w:rsidRPr="000579DA">
              <w:rPr>
                <w:rFonts w:ascii="Calibri" w:eastAsia="Times New Roman" w:hAnsi="Calibri" w:cs="Calibri"/>
                <w:kern w:val="0"/>
                <w:lang w:eastAsia="en-GB"/>
                <w14:ligatures w14:val="none"/>
              </w:rPr>
              <w:t xml:space="preserve">o. 666/2022 primarily monitors and verifies compliance through </w:t>
            </w:r>
            <w:r w:rsidRPr="00EE4D7F">
              <w:rPr>
                <w:rFonts w:ascii="Calibri" w:eastAsia="Times New Roman" w:hAnsi="Calibri" w:cs="Calibri"/>
                <w:kern w:val="0"/>
                <w:lang w:eastAsia="en-GB"/>
                <w14:ligatures w14:val="none"/>
              </w:rPr>
              <w:t>self-reporting by regulated entities</w:t>
            </w:r>
            <w:r w:rsidRPr="000579DA">
              <w:rPr>
                <w:rFonts w:ascii="Calibri" w:eastAsia="Times New Roman" w:hAnsi="Calibri" w:cs="Calibri"/>
                <w:kern w:val="0"/>
                <w:lang w:eastAsia="en-GB"/>
                <w14:ligatures w14:val="none"/>
              </w:rPr>
              <w:t xml:space="preserve"> and </w:t>
            </w:r>
            <w:r w:rsidRPr="00EE4D7F">
              <w:rPr>
                <w:rFonts w:ascii="Calibri" w:eastAsia="Times New Roman" w:hAnsi="Calibri" w:cs="Calibri"/>
                <w:kern w:val="0"/>
                <w:lang w:eastAsia="en-GB"/>
                <w14:ligatures w14:val="none"/>
              </w:rPr>
              <w:t>regulatory oversight by SUSEP</w:t>
            </w:r>
            <w:r w:rsidRPr="000579DA">
              <w:rPr>
                <w:rFonts w:ascii="Calibri" w:eastAsia="Times New Roman" w:hAnsi="Calibri" w:cs="Calibri"/>
                <w:kern w:val="0"/>
                <w:lang w:eastAsia="en-GB"/>
                <w14:ligatures w14:val="none"/>
              </w:rPr>
              <w:t xml:space="preserve">. Article 15 explicitly mandates that supervised entities annually prepare and disclose a </w:t>
            </w:r>
            <w:r w:rsidRPr="00EE4D7F">
              <w:rPr>
                <w:rFonts w:ascii="Calibri" w:eastAsia="Times New Roman" w:hAnsi="Calibri" w:cs="Calibri"/>
                <w:kern w:val="0"/>
                <w:lang w:eastAsia="en-GB"/>
                <w14:ligatures w14:val="none"/>
              </w:rPr>
              <w:t>Sustainability Report</w:t>
            </w:r>
            <w:r w:rsidRPr="000579DA">
              <w:rPr>
                <w:rFonts w:ascii="Calibri" w:eastAsia="Times New Roman" w:hAnsi="Calibri" w:cs="Calibri"/>
                <w:kern w:val="0"/>
                <w:lang w:eastAsia="en-GB"/>
                <w14:ligatures w14:val="none"/>
              </w:rPr>
              <w:t xml:space="preserve">, detailing their actions and results in managing sustainability risks. This self-reported information serves as a key mechanism for SUSEP to monitor adherence. Furthermore, as the financial supervisor, SUSEP inherently exercises </w:t>
            </w:r>
            <w:r w:rsidRPr="00EE4D7F">
              <w:rPr>
                <w:rFonts w:ascii="Calibri" w:eastAsia="Times New Roman" w:hAnsi="Calibri" w:cs="Calibri"/>
                <w:kern w:val="0"/>
                <w:lang w:eastAsia="en-GB"/>
                <w14:ligatures w14:val="none"/>
              </w:rPr>
              <w:t>regulatory oversight</w:t>
            </w:r>
            <w:r w:rsidRPr="000579DA">
              <w:rPr>
                <w:rFonts w:ascii="Calibri" w:eastAsia="Times New Roman" w:hAnsi="Calibri" w:cs="Calibri"/>
                <w:kern w:val="0"/>
                <w:lang w:eastAsia="en-GB"/>
                <w14:ligatures w14:val="none"/>
              </w:rPr>
              <w:t>, integrating the verification of these new obligations within its existing supervisory framework, which includes the analysis of submitted documents and potential inspections, ensuring compliance with the broader System of Internal Controls (SCI) and Risk Management Structur</w:t>
            </w:r>
            <w:r w:rsidRPr="00B565C2">
              <w:rPr>
                <w:rFonts w:ascii="Calibri" w:eastAsia="Times New Roman" w:hAnsi="Calibri" w:cs="Calibri"/>
                <w:kern w:val="0"/>
                <w:lang w:eastAsia="en-GB"/>
                <w14:ligatures w14:val="none"/>
              </w:rPr>
              <w:t>e (EGR) mentioned in Article 4.</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69B425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3E7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572C2E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11FF33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1F2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68765C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543FC0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E650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59C784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E650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695070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68FB51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E6502">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DD339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E6502">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D100A40" w14:textId="77777777" w:rsidR="00482A75" w:rsidRDefault="00482A75"/>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429E903C" w:rsidR="00C82860" w:rsidRPr="00CF2E7C" w:rsidRDefault="00464A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B66018E" w14:textId="4DF7F6A6" w:rsidR="00482A75" w:rsidRDefault="004E35C4" w:rsidP="00EE4D7F">
            <w:pPr>
              <w:textAlignment w:val="baseline"/>
            </w:pPr>
            <w:r w:rsidRPr="004E35C4">
              <w:rPr>
                <w:rFonts w:ascii="Calibri" w:eastAsia="Times New Roman" w:hAnsi="Calibri" w:cs="Calibri"/>
                <w:kern w:val="0"/>
                <w:lang w:eastAsia="en-GB"/>
                <w14:ligatures w14:val="none"/>
              </w:rPr>
              <w:t>Circular SUSEP No. 666/2022 mandates comprehensive disclosure of climate-related risk management and governance practices for all supervised entities, without establishing specific thresholds for varying requirements based on entity size or risk profile for the core disclosure obligation itself. Article 15 explicitly states that "The supervised entity shall prepare and disclose, annually, a Sustainability Report that presents the actions and results obtained in promoting the Sustainability Policy and in managing sustainability risks." This report must encompass how climate risks are identified, assessed, monitored, and mitigated, and how the Sustainability Policy is integrated into the entity's overall governance framework. Furthermore, SUSEP provides "Standard Tables" to guide the summarized presentation of information within the Sustainability Report, ensuring a degree of standardization across disclosures, which further reinforces the mandatory and consistent nature of the reporting across all relevant entities.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50102BF0" w:rsidR="00C82860" w:rsidRPr="00CF2E7C" w:rsidRDefault="00F32C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356894A" w14:textId="3CBE2196" w:rsidR="00482A75" w:rsidRDefault="00C42DA6" w:rsidP="00EE4D7F">
            <w:pPr>
              <w:textAlignment w:val="baseline"/>
            </w:pPr>
            <w:r w:rsidRPr="00C42DA6">
              <w:rPr>
                <w:rFonts w:ascii="Calibri" w:eastAsia="Times New Roman" w:hAnsi="Calibri" w:cs="Calibri"/>
                <w:kern w:val="0"/>
                <w:lang w:eastAsia="en-GB"/>
                <w14:ligatures w14:val="none"/>
              </w:rPr>
              <w:t>The Circular SUSEP No. 666/2022 explicitly requires the incorporation of climate-related risk assessment into the due diligence process for new clients and transactions, including investments. This obligation is primarily established in Article 4, which mandates supervised entities to "adopt methodologies, processes, procedures, and specific controls to identify, assess, classify, measure, treat, monitor, and report, in a timely manner, the sustainability risks to which they are exposed." Furthermore, Article 5 specifically addresses "Criteria and Procedures for Pricing and Underwriting Risks"</w:t>
            </w:r>
            <w:r>
              <w:rPr>
                <w:rFonts w:ascii="Calibri" w:eastAsia="Times New Roman" w:hAnsi="Calibri" w:cs="Calibri"/>
                <w:kern w:val="0"/>
                <w:lang w:eastAsia="en-GB"/>
                <w14:ligatures w14:val="none"/>
              </w:rPr>
              <w:t>.</w:t>
            </w:r>
            <w:r w:rsidRPr="00C42DA6">
              <w:rPr>
                <w:rFonts w:ascii="Calibri" w:eastAsia="Times New Roman" w:hAnsi="Calibri" w:cs="Calibri"/>
                <w:kern w:val="0"/>
                <w:lang w:eastAsia="en-GB"/>
                <w14:ligatures w14:val="none"/>
              </w:rPr>
              <w:t xml:space="preserve"> This demonstrates that a comprehensive climate-risk assessment of counterparties and the inherent </w:t>
            </w:r>
            <w:proofErr w:type="gramStart"/>
            <w:r w:rsidRPr="00C42DA6">
              <w:rPr>
                <w:rFonts w:ascii="Calibri" w:eastAsia="Times New Roman" w:hAnsi="Calibri" w:cs="Calibri"/>
                <w:kern w:val="0"/>
                <w:lang w:eastAsia="en-GB"/>
                <w14:ligatures w14:val="none"/>
              </w:rPr>
              <w:t>risks</w:t>
            </w:r>
            <w:proofErr w:type="gramEnd"/>
            <w:r w:rsidRPr="00C42DA6">
              <w:rPr>
                <w:rFonts w:ascii="Calibri" w:eastAsia="Times New Roman" w:hAnsi="Calibri" w:cs="Calibri"/>
                <w:kern w:val="0"/>
                <w:lang w:eastAsia="en-GB"/>
                <w14:ligatures w14:val="none"/>
              </w:rPr>
              <w:t xml:space="preserve"> of a transaction is a mandatory component of their due diligence and underwriting processes, ensuring that sustainability considerations are embedded in core business decisions.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31ECD57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50F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05E1D3A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4210556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50F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4FE57F1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195FE1C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50F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309976B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5515F79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50F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69ED2A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5913CE2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5DB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533B4E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9DDBA85" w14:textId="651B44D1" w:rsidR="00482A75" w:rsidRDefault="00285DB9" w:rsidP="00EE4D7F">
            <w:pPr>
              <w:textAlignment w:val="baseline"/>
            </w:pPr>
            <w:r w:rsidRPr="00285DB9">
              <w:rPr>
                <w:rFonts w:ascii="Calibri" w:eastAsia="Times New Roman" w:hAnsi="Calibri" w:cs="Calibri"/>
                <w:kern w:val="0"/>
                <w:lang w:eastAsia="en-GB"/>
                <w14:ligatures w14:val="none"/>
              </w:rPr>
              <w:t>Article 4 establishes that supervised entities must incorporate sustainability risks—comprising environmental, social, and climate-related risks—into their risk management frameworks and internal control systems. This includes adopting methodologies to identify, assess, monitor, and mitigate these risks across relevant business activities. For entities classified under segments S1 and S2, there is an added requirement to integrate long-term projections of sustainability-related events into their quantitative risk models, as well as to maintain a structured record of losses attributable to such risks. These measures are intended to ensure consistent, proactive management of sustainability risks throughout the institution’s operations.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A49439B" w14:textId="77777777" w:rsidR="00482A75" w:rsidRDefault="00482A75"/>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37B34922" w14:textId="77777777" w:rsidR="00482A75" w:rsidRDefault="00482A75"/>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74095D30" w14:textId="77777777" w:rsidR="00482A75" w:rsidRDefault="00482A75"/>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648F15A" w14:textId="77777777" w:rsidR="00482A75" w:rsidRDefault="00482A75"/>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75FC75C" w14:textId="77777777" w:rsidR="00482A75" w:rsidRDefault="00482A75"/>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10700112" w14:textId="77777777" w:rsidR="00482A75" w:rsidRDefault="00482A75"/>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3E5D18D" w14:textId="77777777" w:rsidR="00482A75" w:rsidRDefault="00482A75"/>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04851D9C" w:rsidR="00F26296" w:rsidRPr="00CF2E7C" w:rsidRDefault="00E236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2A4E90A" w14:textId="77777777" w:rsidR="00482A75" w:rsidRDefault="00482A75"/>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23AB25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1B8A">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0086709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1B8A">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5B8CDDCD" w14:textId="77777777" w:rsidR="00482A75" w:rsidRDefault="00482A75"/>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4FC0F8D4" w:rsidR="00B114FD" w:rsidRPr="00CF2E7C" w:rsidRDefault="00751B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4625F204" w14:textId="77777777" w:rsidR="00482A75" w:rsidRDefault="00482A75"/>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372C6271" w:rsidR="00B114FD" w:rsidRPr="00CF2E7C" w:rsidRDefault="00751B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6EA1D5C0" w:rsidR="00B114FD" w:rsidRPr="00CF2E7C" w:rsidRDefault="004579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per Art. 15, I, f, t</w:t>
            </w:r>
            <w:r w:rsidRPr="0045799F">
              <w:rPr>
                <w:rFonts w:ascii="Calibri" w:eastAsia="Times New Roman" w:hAnsi="Calibri" w:cs="Calibri"/>
                <w:kern w:val="0"/>
                <w:lang w:eastAsia="en-GB"/>
                <w14:ligatures w14:val="none"/>
              </w:rPr>
              <w:t>he supervised entity must prepare and disclose a sustainability report. Among other required elements, this report must describe how sustainability-related risks are integrated into the entity’s corporate governance structure and into the management of underwriting, credit, market, operational, and liquidity risk</w:t>
            </w:r>
            <w:r>
              <w:rPr>
                <w:rFonts w:ascii="Calibri" w:eastAsia="Times New Roman" w:hAnsi="Calibri" w:cs="Calibri"/>
                <w:kern w:val="0"/>
                <w:lang w:eastAsia="en-GB"/>
                <w14:ligatures w14:val="none"/>
              </w:rPr>
              <w:t>.</w:t>
            </w:r>
          </w:p>
          <w:p w14:paraId="38C2568D" w14:textId="77777777" w:rsidR="00482A75" w:rsidRDefault="00482A75"/>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FC109C7" w14:textId="657FB874" w:rsidR="0045799F" w:rsidRPr="00EE4D7F" w:rsidRDefault="0045799F" w:rsidP="0045799F">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No specification made. Art. 4, par. 3 indicates that s</w:t>
            </w:r>
            <w:proofErr w:type="spellStart"/>
            <w:r w:rsidRPr="00EE4D7F">
              <w:rPr>
                <w:rFonts w:ascii="Calibri" w:eastAsia="Times New Roman" w:hAnsi="Calibri" w:cs="Calibri"/>
                <w:kern w:val="0"/>
                <w:lang w:val="en-US" w:eastAsia="en-GB"/>
                <w14:ligatures w14:val="none"/>
              </w:rPr>
              <w:t>ustainability</w:t>
            </w:r>
            <w:proofErr w:type="spellEnd"/>
            <w:r w:rsidRPr="00EE4D7F">
              <w:rPr>
                <w:rFonts w:ascii="Calibri" w:eastAsia="Times New Roman" w:hAnsi="Calibri" w:cs="Calibri"/>
                <w:kern w:val="0"/>
                <w:lang w:val="en-US" w:eastAsia="en-GB"/>
                <w14:ligatures w14:val="none"/>
              </w:rPr>
              <w:t xml:space="preserve"> risks do not necessarily constitute new</w:t>
            </w:r>
            <w:r w:rsidRPr="00EE4D7F">
              <w:rPr>
                <w:rFonts w:ascii="Calibri" w:eastAsia="Times New Roman" w:hAnsi="Calibri" w:cs="Calibri"/>
                <w:kern w:val="0"/>
                <w:lang w:val="en-US" w:eastAsia="en-GB"/>
                <w14:ligatures w14:val="none"/>
              </w:rPr>
              <w:t xml:space="preserve"> </w:t>
            </w:r>
            <w:r w:rsidRPr="00EE4D7F">
              <w:rPr>
                <w:rFonts w:ascii="Calibri" w:eastAsia="Times New Roman" w:hAnsi="Calibri" w:cs="Calibri"/>
                <w:kern w:val="0"/>
                <w:lang w:val="en-US" w:eastAsia="en-GB"/>
                <w14:ligatures w14:val="none"/>
              </w:rPr>
              <w:t>categories of risk in the context of the regulations mentioned in the heading, and should,</w:t>
            </w:r>
            <w:r w:rsidRPr="00EE4D7F">
              <w:rPr>
                <w:rFonts w:ascii="Calibri" w:eastAsia="Times New Roman" w:hAnsi="Calibri" w:cs="Calibri"/>
                <w:kern w:val="0"/>
                <w:lang w:val="en-US" w:eastAsia="en-GB"/>
                <w14:ligatures w14:val="none"/>
              </w:rPr>
              <w:t xml:space="preserve"> </w:t>
            </w:r>
            <w:r w:rsidRPr="00EE4D7F">
              <w:rPr>
                <w:rFonts w:ascii="Calibri" w:eastAsia="Times New Roman" w:hAnsi="Calibri" w:cs="Calibri"/>
                <w:kern w:val="0"/>
                <w:lang w:val="en-US" w:eastAsia="en-GB"/>
                <w14:ligatures w14:val="none"/>
              </w:rPr>
              <w:t>whenever possible, be considered in the mandatory categories of underwriting,</w:t>
            </w:r>
            <w:r w:rsidRPr="00EE4D7F">
              <w:rPr>
                <w:rFonts w:ascii="Calibri" w:eastAsia="Times New Roman" w:hAnsi="Calibri" w:cs="Calibri"/>
                <w:kern w:val="0"/>
                <w:lang w:val="en-US" w:eastAsia="en-GB"/>
                <w14:ligatures w14:val="none"/>
              </w:rPr>
              <w:t xml:space="preserve"> </w:t>
            </w:r>
            <w:r w:rsidRPr="00EE4D7F">
              <w:rPr>
                <w:rFonts w:ascii="Calibri" w:eastAsia="Times New Roman" w:hAnsi="Calibri" w:cs="Calibri"/>
                <w:kern w:val="0"/>
                <w:lang w:val="en-US" w:eastAsia="en-GB"/>
                <w14:ligatures w14:val="none"/>
              </w:rPr>
              <w:t>credit, market, operational, and liquidity risk, depending on their effects.</w:t>
            </w:r>
          </w:p>
          <w:p w14:paraId="7BF79C85" w14:textId="2BA10D62" w:rsidR="00B114FD" w:rsidRPr="00CF2E7C" w:rsidRDefault="00B114FD" w:rsidP="00CF2E7C">
            <w:pPr>
              <w:textAlignment w:val="baseline"/>
              <w:rPr>
                <w:rFonts w:ascii="Calibri" w:eastAsia="Times New Roman" w:hAnsi="Calibri" w:cs="Calibri"/>
                <w:kern w:val="0"/>
                <w:lang w:eastAsia="en-GB"/>
                <w14:ligatures w14:val="none"/>
              </w:rPr>
            </w:pPr>
          </w:p>
          <w:p w14:paraId="127F238F" w14:textId="77777777" w:rsidR="00482A75" w:rsidRDefault="00482A75"/>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3283F19A" w14:textId="56A1039D" w:rsidR="00482A75" w:rsidRDefault="00404EEF">
            <w:r>
              <w:t>N/A</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4492740E" w:rsidR="00702413" w:rsidRPr="009C4D10" w:rsidRDefault="00A37D1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Developing the culture within the entity, assessment and consolidation of sustainability risks in a less fluid and more objective, pragmatic approach, have been among the challenges faced by our clients in the sector.</w:t>
            </w:r>
          </w:p>
          <w:p w14:paraId="0AD873D2" w14:textId="77777777" w:rsidR="00482A75" w:rsidRDefault="00482A7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443C0C3B" w:rsidR="00FE0EA5" w:rsidRPr="009C4D10" w:rsidRDefault="00FE0EA5" w:rsidP="00CF2E7C">
            <w:pPr>
              <w:rPr>
                <w:rFonts w:cstheme="minorHAnsi"/>
              </w:rPr>
            </w:pPr>
            <w:r w:rsidRPr="009C4D10">
              <w:rPr>
                <w:rFonts w:cstheme="minorHAnsi"/>
                <w:lang w:val="en-SG"/>
              </w:rPr>
              <w:t> </w:t>
            </w:r>
            <w:r w:rsidRPr="009C4D10">
              <w:rPr>
                <w:rFonts w:cstheme="minorHAnsi"/>
              </w:rPr>
              <w:t> </w:t>
            </w:r>
            <w:r w:rsidR="00A37D14">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7204599" w:rsidR="00FE0EA5" w:rsidRPr="009C4D10" w:rsidRDefault="00FE0EA5" w:rsidP="00CF2E7C">
            <w:pPr>
              <w:rPr>
                <w:rFonts w:cstheme="minorHAnsi"/>
              </w:rPr>
            </w:pPr>
            <w:r w:rsidRPr="009C4D10">
              <w:rPr>
                <w:rFonts w:cstheme="minorHAnsi"/>
                <w:lang w:val="en-SG"/>
              </w:rPr>
              <w:t> </w:t>
            </w:r>
            <w:r w:rsidRPr="009C4D10">
              <w:rPr>
                <w:rFonts w:cstheme="minorHAnsi"/>
              </w:rPr>
              <w:t> </w:t>
            </w:r>
            <w:r w:rsidR="00A37D14">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5BF03D1F" w:rsidR="00FE0EA5" w:rsidRPr="009C4D10" w:rsidRDefault="00FE0EA5" w:rsidP="00CF2E7C">
            <w:pPr>
              <w:rPr>
                <w:rFonts w:cstheme="minorHAnsi"/>
              </w:rPr>
            </w:pPr>
            <w:r w:rsidRPr="009C4D10">
              <w:rPr>
                <w:rFonts w:cstheme="minorHAnsi"/>
                <w:lang w:val="en-SG"/>
              </w:rPr>
              <w:t> </w:t>
            </w:r>
            <w:r w:rsidRPr="009C4D10">
              <w:rPr>
                <w:rFonts w:cstheme="minorHAnsi"/>
              </w:rPr>
              <w:t> </w:t>
            </w:r>
            <w:r w:rsidR="00A37D14">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20DA0F0" w:rsidR="00FE0EA5" w:rsidRPr="009C4D10" w:rsidRDefault="00FE0EA5" w:rsidP="00CF2E7C">
            <w:pPr>
              <w:rPr>
                <w:rFonts w:cstheme="minorHAnsi"/>
              </w:rPr>
            </w:pPr>
            <w:r w:rsidRPr="009C4D10">
              <w:rPr>
                <w:rFonts w:cstheme="minorHAnsi"/>
                <w:lang w:val="en-SG"/>
              </w:rPr>
              <w:t> </w:t>
            </w:r>
            <w:r w:rsidRPr="009C4D10">
              <w:rPr>
                <w:rFonts w:cstheme="minorHAnsi"/>
              </w:rPr>
              <w:t> </w:t>
            </w:r>
            <w:r w:rsidR="00A37D14">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6A51F25E" w:rsidR="00FE0EA5" w:rsidRPr="009C4D10" w:rsidRDefault="00FE0EA5" w:rsidP="00CF2E7C">
            <w:pPr>
              <w:rPr>
                <w:rFonts w:cstheme="minorHAnsi"/>
              </w:rPr>
            </w:pPr>
            <w:r w:rsidRPr="009C4D10">
              <w:rPr>
                <w:rFonts w:cstheme="minorHAnsi"/>
                <w:lang w:val="en-SG"/>
              </w:rPr>
              <w:t> </w:t>
            </w:r>
            <w:r w:rsidRPr="009C4D10">
              <w:rPr>
                <w:rFonts w:cstheme="minorHAnsi"/>
              </w:rPr>
              <w:t> </w:t>
            </w:r>
            <w:r w:rsidR="00A37D14">
              <w:rPr>
                <w:rFonts w:cstheme="minorHAnsi"/>
              </w:rPr>
              <w:t>XX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2CDFEEB8" w14:textId="77777777" w:rsidR="00482A75" w:rsidRDefault="00482A75"/>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25D5E1DC" w14:textId="77777777" w:rsidR="00482A75" w:rsidRDefault="00482A75"/>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194686AC" w14:textId="77777777" w:rsidR="00482A75" w:rsidRDefault="00482A75"/>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41A92E7B" w14:textId="77777777" w:rsidR="00482A75" w:rsidRDefault="00482A75"/>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1268EECA" w14:textId="77777777" w:rsidR="00482A75" w:rsidRDefault="00482A75"/>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5E9D8782" w14:textId="77777777" w:rsidR="00482A75" w:rsidRDefault="00482A75"/>
        </w:tc>
      </w:tr>
      <w:tr w:rsidR="002F0752" w:rsidRPr="00D74511"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E4D7F" w:rsidRDefault="002F0752" w:rsidP="00CF2E7C">
            <w:pPr>
              <w:rPr>
                <w:rFonts w:ascii="Calibri" w:hAnsi="Calibri" w:cs="Calibri"/>
                <w:lang w:val="fr-FR"/>
              </w:rPr>
            </w:pPr>
            <w:r w:rsidRPr="00EE4D7F">
              <w:rPr>
                <w:rFonts w:ascii="Calibri" w:hAnsi="Calibri" w:cs="Calibri"/>
                <w:lang w:val="fr-FR"/>
              </w:rPr>
              <w:t>Minimum revenue (Enter minimum revenue)</w:t>
            </w:r>
          </w:p>
        </w:tc>
        <w:tc>
          <w:tcPr>
            <w:tcW w:w="4447" w:type="dxa"/>
            <w:gridSpan w:val="3"/>
            <w:vAlign w:val="center"/>
          </w:tcPr>
          <w:p w14:paraId="63712777" w14:textId="77777777" w:rsidR="002F0752" w:rsidRPr="00EE4D7F" w:rsidRDefault="002F0752" w:rsidP="00CF2E7C">
            <w:pPr>
              <w:rPr>
                <w:rFonts w:ascii="Calibri" w:hAnsi="Calibri" w:cs="Calibri"/>
                <w:lang w:val="fr-FR"/>
              </w:rPr>
            </w:pPr>
          </w:p>
          <w:p w14:paraId="5C64750B" w14:textId="77777777" w:rsidR="00482A75" w:rsidRPr="00EE4D7F" w:rsidRDefault="00482A75">
            <w:pPr>
              <w:rPr>
                <w:lang w:val="fr-FR"/>
              </w:rPr>
            </w:pPr>
          </w:p>
        </w:tc>
      </w:tr>
      <w:tr w:rsidR="002F0752" w:rsidRPr="00EE4D7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14EB19A4" w14:textId="77777777" w:rsidR="00482A75" w:rsidRPr="00EE4D7F" w:rsidRDefault="00482A75">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1A43589C" w14:textId="77777777" w:rsidR="00482A75" w:rsidRDefault="00482A75"/>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24AB1CB5" w14:textId="77777777" w:rsidR="00482A75" w:rsidRDefault="00482A75"/>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537922E5" w14:textId="77777777" w:rsidR="00482A75" w:rsidRDefault="00482A75"/>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693C8E8B" w14:textId="77777777" w:rsidR="00482A75" w:rsidRDefault="00482A75"/>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53356527" w14:textId="77777777" w:rsidR="00482A75" w:rsidRDefault="00482A75"/>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42767045" w14:textId="77777777" w:rsidR="00482A75" w:rsidRDefault="00482A75"/>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54BDDE82" w14:textId="77777777" w:rsidR="00482A75" w:rsidRDefault="00482A75"/>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130DFA18" w14:textId="77777777" w:rsidR="00482A75" w:rsidRDefault="00482A75"/>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1A402E88" w14:textId="77777777" w:rsidR="00482A75" w:rsidRDefault="00482A75"/>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2B45D9A5" w14:textId="77777777" w:rsidR="00482A75" w:rsidRDefault="00482A75"/>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31BB584C" w14:textId="77777777" w:rsidR="00482A75" w:rsidRDefault="00482A75"/>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7B372EC7" w14:textId="77777777" w:rsidR="00482A75" w:rsidRDefault="00482A75"/>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0F0A79F6" w14:textId="77777777" w:rsidR="00482A75" w:rsidRDefault="00482A75"/>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1FF59AFA" w14:textId="77777777" w:rsidR="00482A75" w:rsidRDefault="00482A75"/>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2C471CAC" w14:textId="77777777" w:rsidR="00482A75" w:rsidRDefault="00482A75"/>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3F23C0A3" w14:textId="77777777" w:rsidR="00482A75" w:rsidRDefault="00482A75"/>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59A1F1FF" w14:textId="77777777" w:rsidR="00482A75" w:rsidRDefault="00482A75"/>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34CDBA19" w14:textId="77777777" w:rsidR="00482A75" w:rsidRDefault="00482A75"/>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53693197" w14:textId="77777777" w:rsidR="00482A75" w:rsidRDefault="00482A75"/>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05A045E6" w14:textId="77777777" w:rsidR="00482A75" w:rsidRDefault="00482A75"/>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0A64C70" w14:textId="77777777" w:rsidR="00482A75" w:rsidRDefault="00482A75"/>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36CF5442" w14:textId="77777777" w:rsidR="00482A75" w:rsidRDefault="00482A75"/>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4AE02D49" w14:textId="77777777" w:rsidR="00482A75" w:rsidRDefault="00482A75"/>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15362409" w14:textId="77777777" w:rsidR="00482A75" w:rsidRDefault="00482A75"/>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591130EE" w14:textId="77777777" w:rsidR="00482A75" w:rsidRDefault="00482A75"/>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038EF521" w14:textId="77777777" w:rsidR="00482A75" w:rsidRDefault="00482A75"/>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1E5E9E39" w14:textId="77777777" w:rsidR="00482A75" w:rsidRDefault="00482A75"/>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2EE8C321" w14:textId="77777777" w:rsidR="00482A75" w:rsidRDefault="00482A75"/>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32929B56" w14:textId="77777777" w:rsidR="00482A75" w:rsidRDefault="00482A75"/>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3D5DFD9F" w14:textId="77777777" w:rsidR="00482A75" w:rsidRDefault="00482A75"/>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59D78C42" w14:textId="77777777" w:rsidR="00482A75" w:rsidRDefault="00482A75"/>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3D2CB577" w14:textId="77777777" w:rsidR="00482A75" w:rsidRDefault="00482A75"/>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773A68E0" w14:textId="77777777" w:rsidR="00482A75" w:rsidRDefault="00482A75"/>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B802AE" w14:textId="77777777" w:rsidR="009C5206" w:rsidRDefault="009C5206" w:rsidP="00874E39">
      <w:r>
        <w:separator/>
      </w:r>
    </w:p>
  </w:endnote>
  <w:endnote w:type="continuationSeparator" w:id="0">
    <w:p w14:paraId="64F48E9A" w14:textId="77777777" w:rsidR="009C5206" w:rsidRDefault="009C5206" w:rsidP="00874E39">
      <w:r>
        <w:continuationSeparator/>
      </w:r>
    </w:p>
  </w:endnote>
  <w:endnote w:type="continuationNotice" w:id="1">
    <w:p w14:paraId="10399C71" w14:textId="77777777" w:rsidR="009C5206" w:rsidRDefault="009C52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957A4D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65336D" w14:textId="77777777" w:rsidR="009C5206" w:rsidRDefault="009C5206" w:rsidP="00874E39">
      <w:r>
        <w:separator/>
      </w:r>
    </w:p>
  </w:footnote>
  <w:footnote w:type="continuationSeparator" w:id="0">
    <w:p w14:paraId="4E544FD3" w14:textId="77777777" w:rsidR="009C5206" w:rsidRDefault="009C5206" w:rsidP="00874E39">
      <w:r>
        <w:continuationSeparator/>
      </w:r>
    </w:p>
  </w:footnote>
  <w:footnote w:type="continuationNotice" w:id="1">
    <w:p w14:paraId="46231559" w14:textId="77777777" w:rsidR="009C5206" w:rsidRDefault="009C52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9DA"/>
    <w:rsid w:val="0006062B"/>
    <w:rsid w:val="000607C0"/>
    <w:rsid w:val="000609A8"/>
    <w:rsid w:val="00061589"/>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EE0"/>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445"/>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6B3"/>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4A9"/>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16B"/>
    <w:rsid w:val="001B4DEC"/>
    <w:rsid w:val="001B4FB1"/>
    <w:rsid w:val="001B60DE"/>
    <w:rsid w:val="001C008B"/>
    <w:rsid w:val="001C0769"/>
    <w:rsid w:val="001C203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4E6"/>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6E9"/>
    <w:rsid w:val="00246630"/>
    <w:rsid w:val="00247DE7"/>
    <w:rsid w:val="002500FA"/>
    <w:rsid w:val="00250ED8"/>
    <w:rsid w:val="00250F54"/>
    <w:rsid w:val="0025129B"/>
    <w:rsid w:val="0025449C"/>
    <w:rsid w:val="002552C9"/>
    <w:rsid w:val="0025765F"/>
    <w:rsid w:val="00257732"/>
    <w:rsid w:val="00261190"/>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5DB9"/>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75"/>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2A3"/>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4E0"/>
    <w:rsid w:val="00401843"/>
    <w:rsid w:val="004024D0"/>
    <w:rsid w:val="00404119"/>
    <w:rsid w:val="00404453"/>
    <w:rsid w:val="00404EEF"/>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99F"/>
    <w:rsid w:val="00460A6D"/>
    <w:rsid w:val="00461552"/>
    <w:rsid w:val="00463D40"/>
    <w:rsid w:val="00464A14"/>
    <w:rsid w:val="00464C5E"/>
    <w:rsid w:val="0046509D"/>
    <w:rsid w:val="00465B8D"/>
    <w:rsid w:val="00465BE4"/>
    <w:rsid w:val="00467A1C"/>
    <w:rsid w:val="00470095"/>
    <w:rsid w:val="00470D19"/>
    <w:rsid w:val="004711F3"/>
    <w:rsid w:val="00473540"/>
    <w:rsid w:val="00473D86"/>
    <w:rsid w:val="00474855"/>
    <w:rsid w:val="004768DF"/>
    <w:rsid w:val="00480247"/>
    <w:rsid w:val="00482A75"/>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5C4"/>
    <w:rsid w:val="004E4F56"/>
    <w:rsid w:val="004E51B5"/>
    <w:rsid w:val="004F0C55"/>
    <w:rsid w:val="004F276F"/>
    <w:rsid w:val="004F48E8"/>
    <w:rsid w:val="004F5354"/>
    <w:rsid w:val="00501CCF"/>
    <w:rsid w:val="0050261E"/>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0A13"/>
    <w:rsid w:val="00532585"/>
    <w:rsid w:val="00532B66"/>
    <w:rsid w:val="00535327"/>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D3E"/>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03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6B8"/>
    <w:rsid w:val="006C5B0E"/>
    <w:rsid w:val="006C5B4E"/>
    <w:rsid w:val="006C655F"/>
    <w:rsid w:val="006C6972"/>
    <w:rsid w:val="006C6CF7"/>
    <w:rsid w:val="006C7324"/>
    <w:rsid w:val="006D005C"/>
    <w:rsid w:val="006D0F88"/>
    <w:rsid w:val="006D261A"/>
    <w:rsid w:val="006D2944"/>
    <w:rsid w:val="006D43AA"/>
    <w:rsid w:val="006D4C70"/>
    <w:rsid w:val="006D5605"/>
    <w:rsid w:val="006E04BB"/>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457"/>
    <w:rsid w:val="007144C4"/>
    <w:rsid w:val="00714E43"/>
    <w:rsid w:val="007150EB"/>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B8A"/>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F57"/>
    <w:rsid w:val="007D5868"/>
    <w:rsid w:val="007D61F4"/>
    <w:rsid w:val="007D6CAB"/>
    <w:rsid w:val="007E038D"/>
    <w:rsid w:val="007E0819"/>
    <w:rsid w:val="007E08A2"/>
    <w:rsid w:val="007E2561"/>
    <w:rsid w:val="007E260C"/>
    <w:rsid w:val="007E270F"/>
    <w:rsid w:val="007E2EFC"/>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D5D"/>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502"/>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D80"/>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E95"/>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206"/>
    <w:rsid w:val="009C5B4F"/>
    <w:rsid w:val="009C5CDD"/>
    <w:rsid w:val="009C67FA"/>
    <w:rsid w:val="009C6906"/>
    <w:rsid w:val="009D1847"/>
    <w:rsid w:val="009D1954"/>
    <w:rsid w:val="009D3783"/>
    <w:rsid w:val="009D43A7"/>
    <w:rsid w:val="009D5403"/>
    <w:rsid w:val="009D59A5"/>
    <w:rsid w:val="009D676B"/>
    <w:rsid w:val="009D7337"/>
    <w:rsid w:val="009D7CB0"/>
    <w:rsid w:val="009E133B"/>
    <w:rsid w:val="009E1E61"/>
    <w:rsid w:val="009E21B4"/>
    <w:rsid w:val="009E3D96"/>
    <w:rsid w:val="009E40D3"/>
    <w:rsid w:val="009E4263"/>
    <w:rsid w:val="009E5F98"/>
    <w:rsid w:val="009E6317"/>
    <w:rsid w:val="009E7C10"/>
    <w:rsid w:val="009F3542"/>
    <w:rsid w:val="009F3E7B"/>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D14"/>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A76"/>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072"/>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2D0"/>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5C2"/>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001"/>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DA6"/>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4C6"/>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E50"/>
    <w:rsid w:val="00CA0DAE"/>
    <w:rsid w:val="00CA0E49"/>
    <w:rsid w:val="00CA1535"/>
    <w:rsid w:val="00CA36D2"/>
    <w:rsid w:val="00CA5087"/>
    <w:rsid w:val="00CA52DB"/>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4511"/>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6EC"/>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0C5"/>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D7F"/>
    <w:rsid w:val="00EE5475"/>
    <w:rsid w:val="00EE7415"/>
    <w:rsid w:val="00EF0934"/>
    <w:rsid w:val="00EF1A36"/>
    <w:rsid w:val="00EF277D"/>
    <w:rsid w:val="00EF350D"/>
    <w:rsid w:val="00EF433F"/>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2C71"/>
    <w:rsid w:val="00F33485"/>
    <w:rsid w:val="00F3642C"/>
    <w:rsid w:val="00F3654A"/>
    <w:rsid w:val="00F36C5B"/>
    <w:rsid w:val="00F408F6"/>
    <w:rsid w:val="00F40E78"/>
    <w:rsid w:val="00F41680"/>
    <w:rsid w:val="00F41EE0"/>
    <w:rsid w:val="00F42C39"/>
    <w:rsid w:val="00F44E08"/>
    <w:rsid w:val="00F511CC"/>
    <w:rsid w:val="00F51334"/>
    <w:rsid w:val="00F5203B"/>
    <w:rsid w:val="00F526AD"/>
    <w:rsid w:val="00F527B7"/>
    <w:rsid w:val="00F52E73"/>
    <w:rsid w:val="00F52F6F"/>
    <w:rsid w:val="00F53828"/>
    <w:rsid w:val="00F5517E"/>
    <w:rsid w:val="00F60B38"/>
    <w:rsid w:val="00F6108E"/>
    <w:rsid w:val="00F61CB7"/>
    <w:rsid w:val="00F61F2B"/>
    <w:rsid w:val="00F6292A"/>
    <w:rsid w:val="00F62C69"/>
    <w:rsid w:val="00F63214"/>
    <w:rsid w:val="00F632FB"/>
    <w:rsid w:val="00F63EEB"/>
    <w:rsid w:val="00F64C00"/>
    <w:rsid w:val="00F64DA9"/>
    <w:rsid w:val="00F650F7"/>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1ED"/>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45799F"/>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7632288">
      <w:bodyDiv w:val="1"/>
      <w:marLeft w:val="0"/>
      <w:marRight w:val="0"/>
      <w:marTop w:val="0"/>
      <w:marBottom w:val="0"/>
      <w:divBdr>
        <w:top w:val="none" w:sz="0" w:space="0" w:color="auto"/>
        <w:left w:val="none" w:sz="0" w:space="0" w:color="auto"/>
        <w:bottom w:val="none" w:sz="0" w:space="0" w:color="auto"/>
        <w:right w:val="none" w:sz="0" w:space="0" w:color="auto"/>
      </w:divBdr>
      <w:divsChild>
        <w:div w:id="1508328713">
          <w:marLeft w:val="0"/>
          <w:marRight w:val="0"/>
          <w:marTop w:val="0"/>
          <w:marBottom w:val="0"/>
          <w:divBdr>
            <w:top w:val="none" w:sz="0" w:space="0" w:color="auto"/>
            <w:left w:val="none" w:sz="0" w:space="0" w:color="auto"/>
            <w:bottom w:val="none" w:sz="0" w:space="0" w:color="auto"/>
            <w:right w:val="none" w:sz="0" w:space="0" w:color="auto"/>
          </w:divBdr>
          <w:divsChild>
            <w:div w:id="2042507913">
              <w:marLeft w:val="0"/>
              <w:marRight w:val="0"/>
              <w:marTop w:val="0"/>
              <w:marBottom w:val="0"/>
              <w:divBdr>
                <w:top w:val="none" w:sz="0" w:space="0" w:color="auto"/>
                <w:left w:val="none" w:sz="0" w:space="0" w:color="auto"/>
                <w:bottom w:val="none" w:sz="0" w:space="0" w:color="auto"/>
                <w:right w:val="none" w:sz="0" w:space="0" w:color="auto"/>
              </w:divBdr>
              <w:divsChild>
                <w:div w:id="251007721">
                  <w:marLeft w:val="0"/>
                  <w:marRight w:val="0"/>
                  <w:marTop w:val="0"/>
                  <w:marBottom w:val="0"/>
                  <w:divBdr>
                    <w:top w:val="none" w:sz="0" w:space="0" w:color="auto"/>
                    <w:left w:val="none" w:sz="0" w:space="0" w:color="auto"/>
                    <w:bottom w:val="none" w:sz="0" w:space="0" w:color="auto"/>
                    <w:right w:val="none" w:sz="0" w:space="0" w:color="auto"/>
                  </w:divBdr>
                  <w:divsChild>
                    <w:div w:id="811945286">
                      <w:marLeft w:val="0"/>
                      <w:marRight w:val="0"/>
                      <w:marTop w:val="0"/>
                      <w:marBottom w:val="0"/>
                      <w:divBdr>
                        <w:top w:val="none" w:sz="0" w:space="0" w:color="auto"/>
                        <w:left w:val="none" w:sz="0" w:space="0" w:color="auto"/>
                        <w:bottom w:val="none" w:sz="0" w:space="0" w:color="auto"/>
                        <w:right w:val="none" w:sz="0" w:space="0" w:color="auto"/>
                      </w:divBdr>
                      <w:divsChild>
                        <w:div w:id="1692755499">
                          <w:marLeft w:val="0"/>
                          <w:marRight w:val="0"/>
                          <w:marTop w:val="0"/>
                          <w:marBottom w:val="0"/>
                          <w:divBdr>
                            <w:top w:val="none" w:sz="0" w:space="0" w:color="auto"/>
                            <w:left w:val="none" w:sz="0" w:space="0" w:color="auto"/>
                            <w:bottom w:val="none" w:sz="0" w:space="0" w:color="auto"/>
                            <w:right w:val="none" w:sz="0" w:space="0" w:color="auto"/>
                          </w:divBdr>
                          <w:divsChild>
                            <w:div w:id="1374427147">
                              <w:marLeft w:val="0"/>
                              <w:marRight w:val="0"/>
                              <w:marTop w:val="0"/>
                              <w:marBottom w:val="0"/>
                              <w:divBdr>
                                <w:top w:val="none" w:sz="0" w:space="0" w:color="auto"/>
                                <w:left w:val="none" w:sz="0" w:space="0" w:color="auto"/>
                                <w:bottom w:val="none" w:sz="0" w:space="0" w:color="auto"/>
                                <w:right w:val="none" w:sz="0" w:space="0" w:color="auto"/>
                              </w:divBdr>
                              <w:divsChild>
                                <w:div w:id="2091998767">
                                  <w:marLeft w:val="0"/>
                                  <w:marRight w:val="0"/>
                                  <w:marTop w:val="0"/>
                                  <w:marBottom w:val="0"/>
                                  <w:divBdr>
                                    <w:top w:val="none" w:sz="0" w:space="0" w:color="auto"/>
                                    <w:left w:val="none" w:sz="0" w:space="0" w:color="auto"/>
                                    <w:bottom w:val="none" w:sz="0" w:space="0" w:color="auto"/>
                                    <w:right w:val="none" w:sz="0" w:space="0" w:color="auto"/>
                                  </w:divBdr>
                                  <w:divsChild>
                                    <w:div w:id="375668460">
                                      <w:marLeft w:val="0"/>
                                      <w:marRight w:val="0"/>
                                      <w:marTop w:val="0"/>
                                      <w:marBottom w:val="0"/>
                                      <w:divBdr>
                                        <w:top w:val="none" w:sz="0" w:space="0" w:color="auto"/>
                                        <w:left w:val="none" w:sz="0" w:space="0" w:color="auto"/>
                                        <w:bottom w:val="none" w:sz="0" w:space="0" w:color="auto"/>
                                        <w:right w:val="none" w:sz="0" w:space="0" w:color="auto"/>
                                      </w:divBdr>
                                      <w:divsChild>
                                        <w:div w:id="25299656">
                                          <w:marLeft w:val="0"/>
                                          <w:marRight w:val="0"/>
                                          <w:marTop w:val="0"/>
                                          <w:marBottom w:val="0"/>
                                          <w:divBdr>
                                            <w:top w:val="none" w:sz="0" w:space="0" w:color="auto"/>
                                            <w:left w:val="none" w:sz="0" w:space="0" w:color="auto"/>
                                            <w:bottom w:val="none" w:sz="0" w:space="0" w:color="auto"/>
                                            <w:right w:val="none" w:sz="0" w:space="0" w:color="auto"/>
                                          </w:divBdr>
                                          <w:divsChild>
                                            <w:div w:id="1320231545">
                                              <w:marLeft w:val="0"/>
                                              <w:marRight w:val="0"/>
                                              <w:marTop w:val="0"/>
                                              <w:marBottom w:val="0"/>
                                              <w:divBdr>
                                                <w:top w:val="none" w:sz="0" w:space="0" w:color="auto"/>
                                                <w:left w:val="none" w:sz="0" w:space="0" w:color="auto"/>
                                                <w:bottom w:val="none" w:sz="0" w:space="0" w:color="auto"/>
                                                <w:right w:val="none" w:sz="0" w:space="0" w:color="auto"/>
                                              </w:divBdr>
                                              <w:divsChild>
                                                <w:div w:id="860356817">
                                                  <w:marLeft w:val="0"/>
                                                  <w:marRight w:val="0"/>
                                                  <w:marTop w:val="0"/>
                                                  <w:marBottom w:val="0"/>
                                                  <w:divBdr>
                                                    <w:top w:val="none" w:sz="0" w:space="0" w:color="auto"/>
                                                    <w:left w:val="none" w:sz="0" w:space="0" w:color="auto"/>
                                                    <w:bottom w:val="none" w:sz="0" w:space="0" w:color="auto"/>
                                                    <w:right w:val="none" w:sz="0" w:space="0" w:color="auto"/>
                                                  </w:divBdr>
                                                  <w:divsChild>
                                                    <w:div w:id="1270316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51050">
                                      <w:marLeft w:val="0"/>
                                      <w:marRight w:val="0"/>
                                      <w:marTop w:val="0"/>
                                      <w:marBottom w:val="0"/>
                                      <w:divBdr>
                                        <w:top w:val="none" w:sz="0" w:space="0" w:color="auto"/>
                                        <w:left w:val="none" w:sz="0" w:space="0" w:color="auto"/>
                                        <w:bottom w:val="none" w:sz="0" w:space="0" w:color="auto"/>
                                        <w:right w:val="none" w:sz="0" w:space="0" w:color="auto"/>
                                      </w:divBdr>
                                      <w:divsChild>
                                        <w:div w:id="1865249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7420940">
          <w:marLeft w:val="0"/>
          <w:marRight w:val="0"/>
          <w:marTop w:val="0"/>
          <w:marBottom w:val="0"/>
          <w:divBdr>
            <w:top w:val="none" w:sz="0" w:space="0" w:color="auto"/>
            <w:left w:val="none" w:sz="0" w:space="0" w:color="auto"/>
            <w:bottom w:val="none" w:sz="0" w:space="0" w:color="auto"/>
            <w:right w:val="none" w:sz="0" w:space="0" w:color="auto"/>
          </w:divBdr>
          <w:divsChild>
            <w:div w:id="2100439945">
              <w:marLeft w:val="0"/>
              <w:marRight w:val="0"/>
              <w:marTop w:val="0"/>
              <w:marBottom w:val="0"/>
              <w:divBdr>
                <w:top w:val="none" w:sz="0" w:space="0" w:color="auto"/>
                <w:left w:val="none" w:sz="0" w:space="0" w:color="auto"/>
                <w:bottom w:val="none" w:sz="0" w:space="0" w:color="auto"/>
                <w:right w:val="none" w:sz="0" w:space="0" w:color="auto"/>
              </w:divBdr>
              <w:divsChild>
                <w:div w:id="1029839323">
                  <w:marLeft w:val="0"/>
                  <w:marRight w:val="0"/>
                  <w:marTop w:val="0"/>
                  <w:marBottom w:val="0"/>
                  <w:divBdr>
                    <w:top w:val="none" w:sz="0" w:space="0" w:color="auto"/>
                    <w:left w:val="none" w:sz="0" w:space="0" w:color="auto"/>
                    <w:bottom w:val="none" w:sz="0" w:space="0" w:color="auto"/>
                    <w:right w:val="none" w:sz="0" w:space="0" w:color="auto"/>
                  </w:divBdr>
                  <w:divsChild>
                    <w:div w:id="744717386">
                      <w:marLeft w:val="0"/>
                      <w:marRight w:val="0"/>
                      <w:marTop w:val="0"/>
                      <w:marBottom w:val="0"/>
                      <w:divBdr>
                        <w:top w:val="none" w:sz="0" w:space="0" w:color="auto"/>
                        <w:left w:val="none" w:sz="0" w:space="0" w:color="auto"/>
                        <w:bottom w:val="none" w:sz="0" w:space="0" w:color="auto"/>
                        <w:right w:val="none" w:sz="0" w:space="0" w:color="auto"/>
                      </w:divBdr>
                      <w:divsChild>
                        <w:div w:id="1673754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3123902">
      <w:bodyDiv w:val="1"/>
      <w:marLeft w:val="0"/>
      <w:marRight w:val="0"/>
      <w:marTop w:val="0"/>
      <w:marBottom w:val="0"/>
      <w:divBdr>
        <w:top w:val="none" w:sz="0" w:space="0" w:color="auto"/>
        <w:left w:val="none" w:sz="0" w:space="0" w:color="auto"/>
        <w:bottom w:val="none" w:sz="0" w:space="0" w:color="auto"/>
        <w:right w:val="none" w:sz="0" w:space="0" w:color="auto"/>
      </w:divBdr>
    </w:div>
    <w:div w:id="673385319">
      <w:bodyDiv w:val="1"/>
      <w:marLeft w:val="0"/>
      <w:marRight w:val="0"/>
      <w:marTop w:val="0"/>
      <w:marBottom w:val="0"/>
      <w:divBdr>
        <w:top w:val="none" w:sz="0" w:space="0" w:color="auto"/>
        <w:left w:val="none" w:sz="0" w:space="0" w:color="auto"/>
        <w:bottom w:val="none" w:sz="0" w:space="0" w:color="auto"/>
        <w:right w:val="none" w:sz="0" w:space="0" w:color="auto"/>
      </w:divBdr>
      <w:divsChild>
        <w:div w:id="1885290558">
          <w:marLeft w:val="0"/>
          <w:marRight w:val="0"/>
          <w:marTop w:val="0"/>
          <w:marBottom w:val="0"/>
          <w:divBdr>
            <w:top w:val="none" w:sz="0" w:space="0" w:color="auto"/>
            <w:left w:val="none" w:sz="0" w:space="0" w:color="auto"/>
            <w:bottom w:val="none" w:sz="0" w:space="0" w:color="auto"/>
            <w:right w:val="none" w:sz="0" w:space="0" w:color="auto"/>
          </w:divBdr>
          <w:divsChild>
            <w:div w:id="912158540">
              <w:marLeft w:val="0"/>
              <w:marRight w:val="0"/>
              <w:marTop w:val="0"/>
              <w:marBottom w:val="0"/>
              <w:divBdr>
                <w:top w:val="none" w:sz="0" w:space="0" w:color="auto"/>
                <w:left w:val="none" w:sz="0" w:space="0" w:color="auto"/>
                <w:bottom w:val="none" w:sz="0" w:space="0" w:color="auto"/>
                <w:right w:val="none" w:sz="0" w:space="0" w:color="auto"/>
              </w:divBdr>
              <w:divsChild>
                <w:div w:id="925966396">
                  <w:marLeft w:val="0"/>
                  <w:marRight w:val="0"/>
                  <w:marTop w:val="0"/>
                  <w:marBottom w:val="0"/>
                  <w:divBdr>
                    <w:top w:val="none" w:sz="0" w:space="0" w:color="auto"/>
                    <w:left w:val="none" w:sz="0" w:space="0" w:color="auto"/>
                    <w:bottom w:val="none" w:sz="0" w:space="0" w:color="auto"/>
                    <w:right w:val="none" w:sz="0" w:space="0" w:color="auto"/>
                  </w:divBdr>
                  <w:divsChild>
                    <w:div w:id="219291411">
                      <w:marLeft w:val="0"/>
                      <w:marRight w:val="0"/>
                      <w:marTop w:val="0"/>
                      <w:marBottom w:val="0"/>
                      <w:divBdr>
                        <w:top w:val="none" w:sz="0" w:space="0" w:color="auto"/>
                        <w:left w:val="none" w:sz="0" w:space="0" w:color="auto"/>
                        <w:bottom w:val="none" w:sz="0" w:space="0" w:color="auto"/>
                        <w:right w:val="none" w:sz="0" w:space="0" w:color="auto"/>
                      </w:divBdr>
                      <w:divsChild>
                        <w:div w:id="1457867798">
                          <w:marLeft w:val="0"/>
                          <w:marRight w:val="0"/>
                          <w:marTop w:val="0"/>
                          <w:marBottom w:val="0"/>
                          <w:divBdr>
                            <w:top w:val="none" w:sz="0" w:space="0" w:color="auto"/>
                            <w:left w:val="none" w:sz="0" w:space="0" w:color="auto"/>
                            <w:bottom w:val="none" w:sz="0" w:space="0" w:color="auto"/>
                            <w:right w:val="none" w:sz="0" w:space="0" w:color="auto"/>
                          </w:divBdr>
                          <w:divsChild>
                            <w:div w:id="722828993">
                              <w:marLeft w:val="0"/>
                              <w:marRight w:val="0"/>
                              <w:marTop w:val="0"/>
                              <w:marBottom w:val="0"/>
                              <w:divBdr>
                                <w:top w:val="none" w:sz="0" w:space="0" w:color="auto"/>
                                <w:left w:val="none" w:sz="0" w:space="0" w:color="auto"/>
                                <w:bottom w:val="none" w:sz="0" w:space="0" w:color="auto"/>
                                <w:right w:val="none" w:sz="0" w:space="0" w:color="auto"/>
                              </w:divBdr>
                              <w:divsChild>
                                <w:div w:id="130289556">
                                  <w:marLeft w:val="0"/>
                                  <w:marRight w:val="0"/>
                                  <w:marTop w:val="0"/>
                                  <w:marBottom w:val="0"/>
                                  <w:divBdr>
                                    <w:top w:val="none" w:sz="0" w:space="0" w:color="auto"/>
                                    <w:left w:val="none" w:sz="0" w:space="0" w:color="auto"/>
                                    <w:bottom w:val="none" w:sz="0" w:space="0" w:color="auto"/>
                                    <w:right w:val="none" w:sz="0" w:space="0" w:color="auto"/>
                                  </w:divBdr>
                                  <w:divsChild>
                                    <w:div w:id="1509825686">
                                      <w:marLeft w:val="0"/>
                                      <w:marRight w:val="0"/>
                                      <w:marTop w:val="0"/>
                                      <w:marBottom w:val="0"/>
                                      <w:divBdr>
                                        <w:top w:val="none" w:sz="0" w:space="0" w:color="auto"/>
                                        <w:left w:val="none" w:sz="0" w:space="0" w:color="auto"/>
                                        <w:bottom w:val="none" w:sz="0" w:space="0" w:color="auto"/>
                                        <w:right w:val="none" w:sz="0" w:space="0" w:color="auto"/>
                                      </w:divBdr>
                                      <w:divsChild>
                                        <w:div w:id="962224858">
                                          <w:marLeft w:val="0"/>
                                          <w:marRight w:val="0"/>
                                          <w:marTop w:val="0"/>
                                          <w:marBottom w:val="0"/>
                                          <w:divBdr>
                                            <w:top w:val="none" w:sz="0" w:space="0" w:color="auto"/>
                                            <w:left w:val="none" w:sz="0" w:space="0" w:color="auto"/>
                                            <w:bottom w:val="none" w:sz="0" w:space="0" w:color="auto"/>
                                            <w:right w:val="none" w:sz="0" w:space="0" w:color="auto"/>
                                          </w:divBdr>
                                          <w:divsChild>
                                            <w:div w:id="1330333225">
                                              <w:marLeft w:val="0"/>
                                              <w:marRight w:val="0"/>
                                              <w:marTop w:val="0"/>
                                              <w:marBottom w:val="0"/>
                                              <w:divBdr>
                                                <w:top w:val="none" w:sz="0" w:space="0" w:color="auto"/>
                                                <w:left w:val="none" w:sz="0" w:space="0" w:color="auto"/>
                                                <w:bottom w:val="none" w:sz="0" w:space="0" w:color="auto"/>
                                                <w:right w:val="none" w:sz="0" w:space="0" w:color="auto"/>
                                              </w:divBdr>
                                              <w:divsChild>
                                                <w:div w:id="603224822">
                                                  <w:marLeft w:val="0"/>
                                                  <w:marRight w:val="0"/>
                                                  <w:marTop w:val="0"/>
                                                  <w:marBottom w:val="0"/>
                                                  <w:divBdr>
                                                    <w:top w:val="none" w:sz="0" w:space="0" w:color="auto"/>
                                                    <w:left w:val="none" w:sz="0" w:space="0" w:color="auto"/>
                                                    <w:bottom w:val="none" w:sz="0" w:space="0" w:color="auto"/>
                                                    <w:right w:val="none" w:sz="0" w:space="0" w:color="auto"/>
                                                  </w:divBdr>
                                                  <w:divsChild>
                                                    <w:div w:id="221907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4886168">
                                      <w:marLeft w:val="0"/>
                                      <w:marRight w:val="0"/>
                                      <w:marTop w:val="0"/>
                                      <w:marBottom w:val="0"/>
                                      <w:divBdr>
                                        <w:top w:val="none" w:sz="0" w:space="0" w:color="auto"/>
                                        <w:left w:val="none" w:sz="0" w:space="0" w:color="auto"/>
                                        <w:bottom w:val="none" w:sz="0" w:space="0" w:color="auto"/>
                                        <w:right w:val="none" w:sz="0" w:space="0" w:color="auto"/>
                                      </w:divBdr>
                                      <w:divsChild>
                                        <w:div w:id="800268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44337344">
          <w:marLeft w:val="0"/>
          <w:marRight w:val="0"/>
          <w:marTop w:val="0"/>
          <w:marBottom w:val="0"/>
          <w:divBdr>
            <w:top w:val="none" w:sz="0" w:space="0" w:color="auto"/>
            <w:left w:val="none" w:sz="0" w:space="0" w:color="auto"/>
            <w:bottom w:val="none" w:sz="0" w:space="0" w:color="auto"/>
            <w:right w:val="none" w:sz="0" w:space="0" w:color="auto"/>
          </w:divBdr>
          <w:divsChild>
            <w:div w:id="1895578123">
              <w:marLeft w:val="0"/>
              <w:marRight w:val="0"/>
              <w:marTop w:val="0"/>
              <w:marBottom w:val="0"/>
              <w:divBdr>
                <w:top w:val="none" w:sz="0" w:space="0" w:color="auto"/>
                <w:left w:val="none" w:sz="0" w:space="0" w:color="auto"/>
                <w:bottom w:val="none" w:sz="0" w:space="0" w:color="auto"/>
                <w:right w:val="none" w:sz="0" w:space="0" w:color="auto"/>
              </w:divBdr>
              <w:divsChild>
                <w:div w:id="1662782">
                  <w:marLeft w:val="0"/>
                  <w:marRight w:val="0"/>
                  <w:marTop w:val="0"/>
                  <w:marBottom w:val="0"/>
                  <w:divBdr>
                    <w:top w:val="none" w:sz="0" w:space="0" w:color="auto"/>
                    <w:left w:val="none" w:sz="0" w:space="0" w:color="auto"/>
                    <w:bottom w:val="none" w:sz="0" w:space="0" w:color="auto"/>
                    <w:right w:val="none" w:sz="0" w:space="0" w:color="auto"/>
                  </w:divBdr>
                  <w:divsChild>
                    <w:div w:id="1576695863">
                      <w:marLeft w:val="0"/>
                      <w:marRight w:val="0"/>
                      <w:marTop w:val="0"/>
                      <w:marBottom w:val="0"/>
                      <w:divBdr>
                        <w:top w:val="none" w:sz="0" w:space="0" w:color="auto"/>
                        <w:left w:val="none" w:sz="0" w:space="0" w:color="auto"/>
                        <w:bottom w:val="none" w:sz="0" w:space="0" w:color="auto"/>
                        <w:right w:val="none" w:sz="0" w:space="0" w:color="auto"/>
                      </w:divBdr>
                      <w:divsChild>
                        <w:div w:id="40175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21579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planalto.gov.br/ccivil_03/decreto-lei/del0073.ht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3011335/https://www2.susep.gov.br/safe/scripts/bnweb/bnmapi.exe?router=upload/2612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9C2199-1472-4163-ACA6-A124FE23642F}"/>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22872</Words>
  <Characters>133121</Characters>
  <Application>Microsoft Office Word</Application>
  <DocSecurity>0</DocSecurity>
  <Lines>2610</Lines>
  <Paragraphs>495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155498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3</cp:revision>
  <cp:lastPrinted>2025-03-21T00:14:00Z</cp:lastPrinted>
  <dcterms:created xsi:type="dcterms:W3CDTF">2025-07-21T23:36:00Z</dcterms:created>
  <dcterms:modified xsi:type="dcterms:W3CDTF">2025-07-21T23:37:00Z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